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64A" w:rsidRPr="00DA064A" w:rsidRDefault="00DA064A" w:rsidP="00094231">
      <w:pPr>
        <w:jc w:val="center"/>
        <w:rPr>
          <w:sz w:val="28"/>
          <w:szCs w:val="28"/>
        </w:rPr>
      </w:pPr>
      <w:bookmarkStart w:id="0" w:name="_GoBack"/>
      <w:bookmarkEnd w:id="0"/>
      <w:r w:rsidRPr="00DA064A">
        <w:rPr>
          <w:sz w:val="28"/>
          <w:szCs w:val="28"/>
        </w:rPr>
        <w:t>Gerhard Schild</w:t>
      </w:r>
    </w:p>
    <w:p w:rsidR="00DA064A" w:rsidRDefault="00DA064A" w:rsidP="00DA064A">
      <w:pPr>
        <w:jc w:val="center"/>
        <w:rPr>
          <w:sz w:val="28"/>
          <w:szCs w:val="28"/>
        </w:rPr>
      </w:pPr>
      <w:proofErr w:type="spellStart"/>
      <w:r w:rsidRPr="00DA064A">
        <w:rPr>
          <w:sz w:val="28"/>
          <w:szCs w:val="28"/>
        </w:rPr>
        <w:t>Jippensgorn</w:t>
      </w:r>
      <w:proofErr w:type="spellEnd"/>
      <w:r w:rsidRPr="00DA064A">
        <w:rPr>
          <w:sz w:val="28"/>
          <w:szCs w:val="28"/>
        </w:rPr>
        <w:t xml:space="preserve"> 2  *  30938 Burgwedel</w:t>
      </w:r>
    </w:p>
    <w:p w:rsidR="00E45131" w:rsidRPr="00DA064A" w:rsidRDefault="00E45131" w:rsidP="00DA064A">
      <w:pPr>
        <w:jc w:val="center"/>
        <w:rPr>
          <w:sz w:val="28"/>
          <w:szCs w:val="28"/>
        </w:rPr>
      </w:pPr>
      <w:r>
        <w:rPr>
          <w:sz w:val="28"/>
          <w:szCs w:val="28"/>
        </w:rPr>
        <w:t>Tel. 05135/925667  *  Fax 05135/925669</w:t>
      </w:r>
    </w:p>
    <w:p w:rsidR="00F33525" w:rsidRDefault="007015A9" w:rsidP="00F33525">
      <w:pPr>
        <w:jc w:val="center"/>
        <w:rPr>
          <w:sz w:val="28"/>
          <w:szCs w:val="28"/>
        </w:rPr>
      </w:pPr>
      <w:hyperlink r:id="rId6" w:history="1">
        <w:r w:rsidR="00F33525" w:rsidRPr="000814F8">
          <w:rPr>
            <w:rStyle w:val="Hyperlink"/>
            <w:sz w:val="28"/>
            <w:szCs w:val="28"/>
          </w:rPr>
          <w:t>gerhard-schild@t-online.de</w:t>
        </w:r>
      </w:hyperlink>
    </w:p>
    <w:p w:rsidR="00094231" w:rsidRDefault="00094231" w:rsidP="00F33525">
      <w:pPr>
        <w:jc w:val="center"/>
        <w:rPr>
          <w:sz w:val="28"/>
          <w:szCs w:val="28"/>
        </w:rPr>
      </w:pPr>
    </w:p>
    <w:p w:rsidR="00F33525" w:rsidRDefault="00F33525" w:rsidP="00F33525">
      <w:pPr>
        <w:jc w:val="center"/>
        <w:rPr>
          <w:sz w:val="28"/>
          <w:szCs w:val="28"/>
        </w:rPr>
      </w:pPr>
      <w:r>
        <w:rPr>
          <w:sz w:val="28"/>
          <w:szCs w:val="28"/>
        </w:rPr>
        <w:t>Beauftragter der Interessengemeinschaften</w:t>
      </w:r>
      <w:r w:rsidR="00571CE6">
        <w:rPr>
          <w:sz w:val="28"/>
          <w:szCs w:val="28"/>
        </w:rPr>
        <w:t xml:space="preserve"> der privaten Erbbaurechtsnehmer in Deutschland</w:t>
      </w:r>
    </w:p>
    <w:p w:rsidR="00F33525" w:rsidRDefault="00F33525" w:rsidP="00F33525">
      <w:pPr>
        <w:jc w:val="center"/>
        <w:rPr>
          <w:sz w:val="28"/>
          <w:szCs w:val="28"/>
        </w:rPr>
      </w:pPr>
    </w:p>
    <w:p w:rsidR="00094231" w:rsidRDefault="00094231" w:rsidP="00F33525">
      <w:pPr>
        <w:rPr>
          <w:sz w:val="28"/>
          <w:szCs w:val="28"/>
        </w:rPr>
      </w:pPr>
    </w:p>
    <w:p w:rsidR="00F33525" w:rsidRDefault="00F33525" w:rsidP="00F33525">
      <w:pPr>
        <w:rPr>
          <w:sz w:val="28"/>
          <w:szCs w:val="28"/>
        </w:rPr>
      </w:pPr>
      <w:r>
        <w:rPr>
          <w:sz w:val="28"/>
          <w:szCs w:val="28"/>
        </w:rPr>
        <w:t>Herrn</w:t>
      </w:r>
      <w:r w:rsidR="00E45131">
        <w:rPr>
          <w:sz w:val="28"/>
          <w:szCs w:val="28"/>
        </w:rPr>
        <w:t xml:space="preserve">                                                          Burgwedel, den 12. Februar 2017</w:t>
      </w:r>
    </w:p>
    <w:p w:rsidR="00F33525" w:rsidRDefault="00F33525" w:rsidP="00F33525">
      <w:pPr>
        <w:rPr>
          <w:sz w:val="28"/>
          <w:szCs w:val="28"/>
        </w:rPr>
      </w:pPr>
      <w:r>
        <w:rPr>
          <w:sz w:val="28"/>
          <w:szCs w:val="28"/>
        </w:rPr>
        <w:t>Stephan Weil</w:t>
      </w:r>
    </w:p>
    <w:p w:rsidR="00F33525" w:rsidRDefault="00F33525" w:rsidP="00F33525">
      <w:pPr>
        <w:rPr>
          <w:sz w:val="28"/>
          <w:szCs w:val="28"/>
        </w:rPr>
      </w:pPr>
      <w:r>
        <w:rPr>
          <w:sz w:val="28"/>
          <w:szCs w:val="28"/>
        </w:rPr>
        <w:t>Ministerpräsident des Landes Niedersachsen</w:t>
      </w:r>
    </w:p>
    <w:p w:rsidR="00F33525" w:rsidRDefault="00F33525" w:rsidP="00F33525">
      <w:pPr>
        <w:rPr>
          <w:sz w:val="28"/>
          <w:szCs w:val="28"/>
        </w:rPr>
      </w:pPr>
      <w:r>
        <w:rPr>
          <w:sz w:val="28"/>
          <w:szCs w:val="28"/>
        </w:rPr>
        <w:t>Planckstraße 2</w:t>
      </w:r>
    </w:p>
    <w:p w:rsidR="00F33525" w:rsidRDefault="00F33525" w:rsidP="00F33525">
      <w:pPr>
        <w:rPr>
          <w:sz w:val="28"/>
          <w:szCs w:val="28"/>
        </w:rPr>
      </w:pPr>
      <w:r>
        <w:rPr>
          <w:sz w:val="28"/>
          <w:szCs w:val="28"/>
        </w:rPr>
        <w:t>30169 Hannover</w:t>
      </w:r>
    </w:p>
    <w:p w:rsidR="00F33525" w:rsidRDefault="00F33525" w:rsidP="00F33525">
      <w:pPr>
        <w:rPr>
          <w:sz w:val="28"/>
          <w:szCs w:val="28"/>
        </w:rPr>
      </w:pPr>
    </w:p>
    <w:p w:rsidR="00F33525" w:rsidRPr="00F33525" w:rsidRDefault="00F33525" w:rsidP="00F33525">
      <w:pPr>
        <w:rPr>
          <w:b/>
          <w:sz w:val="28"/>
          <w:szCs w:val="28"/>
        </w:rPr>
      </w:pPr>
    </w:p>
    <w:p w:rsidR="00F33525" w:rsidRDefault="004D2288" w:rsidP="00F33525">
      <w:pPr>
        <w:rPr>
          <w:b/>
          <w:sz w:val="28"/>
          <w:szCs w:val="28"/>
        </w:rPr>
      </w:pPr>
      <w:r>
        <w:rPr>
          <w:b/>
          <w:sz w:val="28"/>
          <w:szCs w:val="28"/>
        </w:rPr>
        <w:t xml:space="preserve">Die prekäre Lage der </w:t>
      </w:r>
      <w:r w:rsidR="00F33525" w:rsidRPr="00F33525">
        <w:rPr>
          <w:b/>
          <w:sz w:val="28"/>
          <w:szCs w:val="28"/>
        </w:rPr>
        <w:t>Erbbaurechtsnehmer der Klosterkammer Hannover</w:t>
      </w:r>
    </w:p>
    <w:p w:rsidR="004D2288" w:rsidRDefault="004D2288" w:rsidP="00F33525">
      <w:pPr>
        <w:rPr>
          <w:b/>
          <w:sz w:val="28"/>
          <w:szCs w:val="28"/>
        </w:rPr>
      </w:pPr>
    </w:p>
    <w:p w:rsidR="004D2288" w:rsidRDefault="004D2288" w:rsidP="00F33525">
      <w:pPr>
        <w:rPr>
          <w:b/>
          <w:sz w:val="28"/>
          <w:szCs w:val="28"/>
        </w:rPr>
      </w:pPr>
    </w:p>
    <w:p w:rsidR="00F33525" w:rsidRDefault="00F33525" w:rsidP="00F33525">
      <w:pPr>
        <w:rPr>
          <w:sz w:val="28"/>
          <w:szCs w:val="28"/>
        </w:rPr>
      </w:pPr>
      <w:r>
        <w:rPr>
          <w:sz w:val="28"/>
          <w:szCs w:val="28"/>
        </w:rPr>
        <w:t>Sehr geehrter Herr Ministerpräsident, sehr geehrter Herr Weil,</w:t>
      </w:r>
    </w:p>
    <w:p w:rsidR="0079397D" w:rsidRDefault="0079397D" w:rsidP="00F33525">
      <w:pPr>
        <w:rPr>
          <w:sz w:val="28"/>
          <w:szCs w:val="28"/>
        </w:rPr>
      </w:pPr>
    </w:p>
    <w:p w:rsidR="00C8527E" w:rsidRDefault="0079397D" w:rsidP="00F33525">
      <w:pPr>
        <w:rPr>
          <w:sz w:val="28"/>
          <w:szCs w:val="28"/>
        </w:rPr>
      </w:pPr>
      <w:r>
        <w:rPr>
          <w:sz w:val="28"/>
          <w:szCs w:val="28"/>
        </w:rPr>
        <w:t>seit Jahren beklagen sich die Erbbaurechtsnehmer der Klosterkammer über zu hohe und aus ihrer Sicht ungerechtfertigt steigende Erbbauzinsen, die ihren finanziellen Spielraum beeinträchtigen und solche Ausmaße annehmen, dass sie ihren vertraglichen Verpflichtungen nicht mehr nachkommen können und sich von ihrem Eigenheim trennen müssen.</w:t>
      </w:r>
      <w:r w:rsidR="00834031">
        <w:rPr>
          <w:sz w:val="28"/>
          <w:szCs w:val="28"/>
        </w:rPr>
        <w:t xml:space="preserve"> Sofern dieses zutrifft, liegt eine Entwicklung vor, die </w:t>
      </w:r>
      <w:r w:rsidR="00BB601A">
        <w:rPr>
          <w:sz w:val="28"/>
          <w:szCs w:val="28"/>
        </w:rPr>
        <w:t xml:space="preserve">mit den Zielen des Erbbaurechts nicht vereinbar ist. </w:t>
      </w:r>
    </w:p>
    <w:p w:rsidR="00C8527E" w:rsidRDefault="00C8527E" w:rsidP="00F33525">
      <w:pPr>
        <w:rPr>
          <w:sz w:val="28"/>
          <w:szCs w:val="28"/>
        </w:rPr>
      </w:pPr>
    </w:p>
    <w:p w:rsidR="0079397D" w:rsidRDefault="00BB601A" w:rsidP="00F33525">
      <w:pPr>
        <w:rPr>
          <w:sz w:val="28"/>
          <w:szCs w:val="28"/>
        </w:rPr>
      </w:pPr>
      <w:r>
        <w:rPr>
          <w:sz w:val="28"/>
          <w:szCs w:val="28"/>
        </w:rPr>
        <w:t>Der Abschluss eines Erbbaurechtsvertrages macht nur dann</w:t>
      </w:r>
      <w:r w:rsidR="0098714C">
        <w:rPr>
          <w:sz w:val="28"/>
          <w:szCs w:val="28"/>
        </w:rPr>
        <w:t xml:space="preserve"> Sinn, wenn nach allgemeiner Betrachtung</w:t>
      </w:r>
      <w:r w:rsidR="00C8527E">
        <w:rPr>
          <w:sz w:val="28"/>
          <w:szCs w:val="28"/>
        </w:rPr>
        <w:t xml:space="preserve"> sichergestellt ist, dass</w:t>
      </w:r>
      <w:r>
        <w:rPr>
          <w:sz w:val="28"/>
          <w:szCs w:val="28"/>
        </w:rPr>
        <w:t xml:space="preserve"> die finanzielle Belastung durch den Erbbauzins anteilig am verfügbaren Einkommen über die gesamte Vertragslaufzeit unverändert bleibt. </w:t>
      </w:r>
      <w:r w:rsidR="004D2288">
        <w:rPr>
          <w:sz w:val="28"/>
          <w:szCs w:val="28"/>
        </w:rPr>
        <w:t>Das ist durch die aktuelle</w:t>
      </w:r>
      <w:r w:rsidR="0098714C">
        <w:rPr>
          <w:sz w:val="28"/>
          <w:szCs w:val="28"/>
        </w:rPr>
        <w:t xml:space="preserve"> Gesetze</w:t>
      </w:r>
      <w:r w:rsidR="00C8527E">
        <w:rPr>
          <w:sz w:val="28"/>
          <w:szCs w:val="28"/>
        </w:rPr>
        <w:t>slage auch gewährleistet.</w:t>
      </w:r>
      <w:r>
        <w:rPr>
          <w:sz w:val="28"/>
          <w:szCs w:val="28"/>
        </w:rPr>
        <w:t xml:space="preserve"> </w:t>
      </w:r>
      <w:r w:rsidR="00C8527E">
        <w:rPr>
          <w:sz w:val="28"/>
          <w:szCs w:val="28"/>
        </w:rPr>
        <w:t>Wenn also die Erbbaurechtsnehmer der Kloste</w:t>
      </w:r>
      <w:r w:rsidR="0061012B">
        <w:rPr>
          <w:sz w:val="28"/>
          <w:szCs w:val="28"/>
        </w:rPr>
        <w:t>rkammer mit Erbbauzinsforderungen</w:t>
      </w:r>
      <w:r w:rsidR="00C8527E">
        <w:rPr>
          <w:sz w:val="28"/>
          <w:szCs w:val="28"/>
        </w:rPr>
        <w:t xml:space="preserve"> ganz anderen Ausmaßes überzogen werden, muss hier etwas falsch laufen.</w:t>
      </w:r>
    </w:p>
    <w:p w:rsidR="00C8527E" w:rsidRDefault="00C8527E" w:rsidP="00F33525">
      <w:pPr>
        <w:rPr>
          <w:sz w:val="28"/>
          <w:szCs w:val="28"/>
        </w:rPr>
      </w:pPr>
    </w:p>
    <w:p w:rsidR="00C8527E" w:rsidRDefault="00C8527E" w:rsidP="00F33525">
      <w:pPr>
        <w:rPr>
          <w:sz w:val="28"/>
          <w:szCs w:val="28"/>
        </w:rPr>
      </w:pPr>
      <w:r>
        <w:rPr>
          <w:sz w:val="28"/>
          <w:szCs w:val="28"/>
        </w:rPr>
        <w:t xml:space="preserve">Seit vielen Jahren beschäftige ich mich mit dem Erbbaurecht und habe mir auf diesem Gebiet umfangreiches Fachwissen erarbeitet. Mit den Erbbaurechtsverträgen der Klosterkammer und dem Problem der steigenden Erbbauzinsen habe ich mich als Außenstehender intensiv befasst. </w:t>
      </w:r>
    </w:p>
    <w:p w:rsidR="00C8527E" w:rsidRDefault="00C8527E" w:rsidP="00F33525">
      <w:pPr>
        <w:rPr>
          <w:sz w:val="28"/>
          <w:szCs w:val="28"/>
        </w:rPr>
      </w:pPr>
    </w:p>
    <w:p w:rsidR="00C8527E" w:rsidRDefault="00C8527E" w:rsidP="00F33525">
      <w:pPr>
        <w:rPr>
          <w:sz w:val="28"/>
          <w:szCs w:val="28"/>
        </w:rPr>
      </w:pPr>
      <w:r>
        <w:rPr>
          <w:sz w:val="28"/>
          <w:szCs w:val="28"/>
        </w:rPr>
        <w:lastRenderedPageBreak/>
        <w:t xml:space="preserve">Die Klosterkammer ist eine Landesbehörde, der man besonderes Vertrauen entgegenbringt, wenn man sich an das Abenteuer „Erbbaurechtsvertrag“ wagt. </w:t>
      </w:r>
      <w:r w:rsidR="004D2288">
        <w:rPr>
          <w:sz w:val="28"/>
          <w:szCs w:val="28"/>
        </w:rPr>
        <w:t>Schließlich geht es um ein Vertragsverhältnis, das über mehrere Generationen Bestand haben soll</w:t>
      </w:r>
      <w:r>
        <w:rPr>
          <w:sz w:val="28"/>
          <w:szCs w:val="28"/>
        </w:rPr>
        <w:t xml:space="preserve">. </w:t>
      </w:r>
      <w:r w:rsidR="004D2288">
        <w:rPr>
          <w:sz w:val="28"/>
          <w:szCs w:val="28"/>
        </w:rPr>
        <w:t>Bei einer Behörde sollte man sich immer gut aufgehoben fühlen; denn der öffentliche Dienst steht für korrektes Handeln. Aber ist</w:t>
      </w:r>
      <w:r>
        <w:rPr>
          <w:sz w:val="28"/>
          <w:szCs w:val="28"/>
        </w:rPr>
        <w:t xml:space="preserve"> dieser Vertrauensvorschuss </w:t>
      </w:r>
      <w:r w:rsidR="004D2288">
        <w:rPr>
          <w:sz w:val="28"/>
          <w:szCs w:val="28"/>
        </w:rPr>
        <w:t xml:space="preserve">im Falle der Klosterkammer </w:t>
      </w:r>
      <w:r>
        <w:rPr>
          <w:sz w:val="28"/>
          <w:szCs w:val="28"/>
        </w:rPr>
        <w:t>auch gerechtfertigt?</w:t>
      </w:r>
      <w:r w:rsidR="0061012B">
        <w:rPr>
          <w:sz w:val="28"/>
          <w:szCs w:val="28"/>
        </w:rPr>
        <w:t xml:space="preserve"> </w:t>
      </w:r>
    </w:p>
    <w:p w:rsidR="0061012B" w:rsidRDefault="0061012B" w:rsidP="00F33525">
      <w:pPr>
        <w:rPr>
          <w:sz w:val="28"/>
          <w:szCs w:val="28"/>
        </w:rPr>
      </w:pPr>
    </w:p>
    <w:p w:rsidR="00C8527E" w:rsidRDefault="00E45131" w:rsidP="00F33525">
      <w:pPr>
        <w:rPr>
          <w:sz w:val="28"/>
          <w:szCs w:val="28"/>
        </w:rPr>
      </w:pPr>
      <w:r>
        <w:rPr>
          <w:sz w:val="28"/>
          <w:szCs w:val="28"/>
        </w:rPr>
        <w:t xml:space="preserve">Darauf möchte ich mit den nachfolgenden Ausführungen eine Antwort geben. </w:t>
      </w:r>
      <w:r w:rsidR="0098714C">
        <w:rPr>
          <w:sz w:val="28"/>
          <w:szCs w:val="28"/>
        </w:rPr>
        <w:t>Für Beschreibungen und Bewertungen habe ich eine Aufteilung nach Kapiteln vorgenommen.</w:t>
      </w:r>
    </w:p>
    <w:p w:rsidR="00C8527E" w:rsidRDefault="00C8527E" w:rsidP="00F33525">
      <w:pPr>
        <w:rPr>
          <w:sz w:val="28"/>
          <w:szCs w:val="28"/>
        </w:rPr>
      </w:pPr>
    </w:p>
    <w:p w:rsidR="00C8527E" w:rsidRPr="006F28CF" w:rsidRDefault="00C8527E" w:rsidP="00F33525">
      <w:pPr>
        <w:rPr>
          <w:b/>
          <w:sz w:val="28"/>
          <w:szCs w:val="28"/>
        </w:rPr>
      </w:pPr>
      <w:r>
        <w:rPr>
          <w:sz w:val="28"/>
          <w:szCs w:val="28"/>
        </w:rPr>
        <w:t xml:space="preserve">Kapitel 1     </w:t>
      </w:r>
      <w:r w:rsidRPr="006F28CF">
        <w:rPr>
          <w:b/>
          <w:sz w:val="28"/>
          <w:szCs w:val="28"/>
        </w:rPr>
        <w:t>Der Erbbaurechtsvertrag in seiner Grundstruktur</w:t>
      </w:r>
    </w:p>
    <w:p w:rsidR="00C8527E" w:rsidRPr="006F28CF" w:rsidRDefault="00C8527E" w:rsidP="00F33525">
      <w:pPr>
        <w:rPr>
          <w:b/>
          <w:sz w:val="28"/>
          <w:szCs w:val="28"/>
        </w:rPr>
      </w:pPr>
    </w:p>
    <w:p w:rsidR="00C8527E" w:rsidRDefault="00C8527E" w:rsidP="00F33525">
      <w:pPr>
        <w:rPr>
          <w:sz w:val="28"/>
          <w:szCs w:val="28"/>
        </w:rPr>
      </w:pPr>
      <w:r>
        <w:rPr>
          <w:sz w:val="28"/>
          <w:szCs w:val="28"/>
        </w:rPr>
        <w:t>Der Vertrag hat eine Laufzeit von 80 Jahren, üblich sind 99 Jahre. Damit verschafft sich die Klosterkammer den Vorteil, die Grundlagen für eine sie in der Regel begünstigende Erneuerung des Vertrages zum Nachteil des Erbbaurechtsnehmers entsprechend zeitlich früher diktieren zu können.</w:t>
      </w:r>
    </w:p>
    <w:p w:rsidR="00C8527E" w:rsidRDefault="00C8527E" w:rsidP="00F33525">
      <w:pPr>
        <w:rPr>
          <w:sz w:val="28"/>
          <w:szCs w:val="28"/>
        </w:rPr>
      </w:pPr>
    </w:p>
    <w:p w:rsidR="00C8527E" w:rsidRDefault="00C8527E" w:rsidP="00F33525">
      <w:pPr>
        <w:rPr>
          <w:sz w:val="28"/>
          <w:szCs w:val="28"/>
        </w:rPr>
      </w:pPr>
      <w:r>
        <w:rPr>
          <w:sz w:val="28"/>
          <w:szCs w:val="28"/>
        </w:rPr>
        <w:t xml:space="preserve">Aus ehemals landwirtschaftlichen Nutzflächen, die nur geringe Pachterträge erbracht haben, entsteht Bauland von weit höherem Wert. Der Grundstückswert ist dann Ausgangspunkt für die Bemessung des Erbbauzinses. Auf dieser Basis wird eine 5%ige Verzinsung zugrunde gelegt. Ich sehe darin eine willkürliche Festlegung. Seriös wäre eine Anknüpfung an die Zinssätze bei sicherer Geldanlage, die in der Vergangenheit bei maximal 3% gelegen haben werden. So </w:t>
      </w:r>
      <w:r w:rsidR="006F28CF">
        <w:rPr>
          <w:sz w:val="28"/>
          <w:szCs w:val="28"/>
        </w:rPr>
        <w:t xml:space="preserve">aber </w:t>
      </w:r>
      <w:r>
        <w:rPr>
          <w:sz w:val="28"/>
          <w:szCs w:val="28"/>
        </w:rPr>
        <w:t xml:space="preserve">wird das Grundstück alle 20 Jahre voll bezahlt, bis zum Ende des Vertrages also viermal, ohne dass damit ein Eigentum für den Erbbaurechtsnehmer entsteht. Im Gegenteil, er erhält bei Vertragsende eine Entschädigung für seine Bauwerke nur im Umfang von zwei Dritteln des Verkehrswertes. </w:t>
      </w:r>
    </w:p>
    <w:p w:rsidR="00C8527E" w:rsidRDefault="00C8527E" w:rsidP="00F33525">
      <w:pPr>
        <w:rPr>
          <w:sz w:val="28"/>
          <w:szCs w:val="28"/>
        </w:rPr>
      </w:pPr>
    </w:p>
    <w:p w:rsidR="00C8527E" w:rsidRDefault="00C8527E" w:rsidP="00F33525">
      <w:pPr>
        <w:rPr>
          <w:sz w:val="28"/>
          <w:szCs w:val="28"/>
        </w:rPr>
      </w:pPr>
      <w:r>
        <w:rPr>
          <w:sz w:val="28"/>
          <w:szCs w:val="28"/>
        </w:rPr>
        <w:t>Bei allem darf nicht übersehen werden, dass Einkünfte aus Erbbaurechtsverträgen absolut sicher sind, dem Grundstückseigentümer keinerlei Kosten während der Laufzeit entstehen und se</w:t>
      </w:r>
      <w:r w:rsidR="0098714C">
        <w:rPr>
          <w:sz w:val="28"/>
          <w:szCs w:val="28"/>
        </w:rPr>
        <w:t>lbst bei Zahlungsunfähigkeit des</w:t>
      </w:r>
      <w:r>
        <w:rPr>
          <w:sz w:val="28"/>
          <w:szCs w:val="28"/>
        </w:rPr>
        <w:t xml:space="preserve"> Erbbaurechtsnehmer</w:t>
      </w:r>
      <w:r w:rsidR="0098714C">
        <w:rPr>
          <w:sz w:val="28"/>
          <w:szCs w:val="28"/>
        </w:rPr>
        <w:t xml:space="preserve">s </w:t>
      </w:r>
      <w:r>
        <w:rPr>
          <w:sz w:val="28"/>
          <w:szCs w:val="28"/>
        </w:rPr>
        <w:t xml:space="preserve"> durch den ersten Rang im Grundbuch keine Verluste zu befürchten sind.</w:t>
      </w:r>
    </w:p>
    <w:p w:rsidR="00C8527E" w:rsidRDefault="00C8527E" w:rsidP="00F33525">
      <w:pPr>
        <w:rPr>
          <w:sz w:val="28"/>
          <w:szCs w:val="28"/>
        </w:rPr>
      </w:pPr>
    </w:p>
    <w:p w:rsidR="00C8527E" w:rsidRDefault="00C8527E" w:rsidP="00F33525">
      <w:pPr>
        <w:rPr>
          <w:sz w:val="28"/>
          <w:szCs w:val="28"/>
        </w:rPr>
      </w:pPr>
      <w:r>
        <w:rPr>
          <w:sz w:val="28"/>
          <w:szCs w:val="28"/>
        </w:rPr>
        <w:t>Wie bereits gesagt, sind Zinsen von 3% Vergangenheit. Deren Höhe stammt aus einer Zeit, in der in Deutschland noch die Deutsche Bundesbank für die Festlegung des Leitzinses zuständig war. Durch die Verlagerung auf die Europäische Zentralbank ist der Leitzins auf null gesunken mit der Folge, dass auf Spareinlagen keine Zinsen mehr</w:t>
      </w:r>
      <w:r w:rsidR="00E45131">
        <w:rPr>
          <w:sz w:val="28"/>
          <w:szCs w:val="28"/>
        </w:rPr>
        <w:t xml:space="preserve"> gezahlt werden (also auch </w:t>
      </w:r>
      <w:r>
        <w:rPr>
          <w:sz w:val="28"/>
          <w:szCs w:val="28"/>
        </w:rPr>
        <w:t xml:space="preserve"> erwartete </w:t>
      </w:r>
      <w:r>
        <w:rPr>
          <w:sz w:val="28"/>
          <w:szCs w:val="28"/>
        </w:rPr>
        <w:lastRenderedPageBreak/>
        <w:t xml:space="preserve">Beträge als zusätzliche Einnahmequelle insbesondere nach dem Wechsel von der Arbeit in die Rente </w:t>
      </w:r>
      <w:r w:rsidR="00E45131">
        <w:rPr>
          <w:sz w:val="28"/>
          <w:szCs w:val="28"/>
        </w:rPr>
        <w:t xml:space="preserve">nicht mehr </w:t>
      </w:r>
      <w:r>
        <w:rPr>
          <w:sz w:val="28"/>
          <w:szCs w:val="28"/>
        </w:rPr>
        <w:t>zur Verfügung stehen). Völlig unberührt von dieser Entwicklung bleibt die Klosterkammer, sie hat den vertraglich festgelegten Anspruch.</w:t>
      </w:r>
    </w:p>
    <w:p w:rsidR="00C8527E" w:rsidRDefault="00C8527E" w:rsidP="00F33525">
      <w:pPr>
        <w:rPr>
          <w:sz w:val="28"/>
          <w:szCs w:val="28"/>
        </w:rPr>
      </w:pPr>
    </w:p>
    <w:p w:rsidR="00C8527E" w:rsidRDefault="00C8527E" w:rsidP="00F33525">
      <w:pPr>
        <w:rPr>
          <w:sz w:val="28"/>
          <w:szCs w:val="28"/>
        </w:rPr>
      </w:pPr>
      <w:r>
        <w:rPr>
          <w:sz w:val="28"/>
          <w:szCs w:val="28"/>
        </w:rPr>
        <w:t>Ich möchte nun noch anhand eines Beispiels aufzeigen, welche finanziellen Unterschiede sich für Hauseigentümer zwischen Kauf- und Erbbaugrundstücken ergeben.</w:t>
      </w:r>
    </w:p>
    <w:p w:rsidR="00C8527E" w:rsidRDefault="00C8527E" w:rsidP="00F33525">
      <w:pPr>
        <w:rPr>
          <w:sz w:val="28"/>
          <w:szCs w:val="28"/>
        </w:rPr>
      </w:pPr>
    </w:p>
    <w:p w:rsidR="00C8527E" w:rsidRDefault="00C8527E" w:rsidP="00F33525">
      <w:pPr>
        <w:rPr>
          <w:sz w:val="28"/>
          <w:szCs w:val="28"/>
        </w:rPr>
      </w:pPr>
      <w:r>
        <w:rPr>
          <w:sz w:val="28"/>
          <w:szCs w:val="28"/>
        </w:rPr>
        <w:t>Der Käufer finanziert das Grundstück im Wert von 80 000 Euro mit Hilfe eines Darlehens zu folgenden Konditionen: Zinssatz 5% (heute weit niedriger), Tilgung 1%. Dieses Darlehen ist nach rd. 36 Jahren getilgt. An das Geldinstitut wurden in dieser Zeit jährlich 4 800 Euro gezahlt, insgesamt also 172 800 Euro. Der Zinsanteil beträgt 92 800 Euro, die weiteren 80 000 dienen der Darlehnstilgung. Der Grundstückseigentümer hat nach 36 Jahren ein schuldenfreies Grundstück, über das er frei verfügen kann.</w:t>
      </w:r>
    </w:p>
    <w:p w:rsidR="00C8527E" w:rsidRDefault="00C8527E" w:rsidP="00F33525">
      <w:pPr>
        <w:rPr>
          <w:sz w:val="28"/>
          <w:szCs w:val="28"/>
        </w:rPr>
      </w:pPr>
    </w:p>
    <w:p w:rsidR="00C8527E" w:rsidRDefault="00C8527E" w:rsidP="00F33525">
      <w:pPr>
        <w:rPr>
          <w:sz w:val="28"/>
          <w:szCs w:val="28"/>
        </w:rPr>
      </w:pPr>
      <w:r>
        <w:rPr>
          <w:sz w:val="28"/>
          <w:szCs w:val="28"/>
        </w:rPr>
        <w:t>Der Erbbaurechtsnehmer zahlt ebenfalls 5% Zinsen, also jährlich 4 000 Euro. In 36 Jahren ergibt sich eine Summe von 144 000 Euro. Damit hat er bereits rd. 55% mehr Zinsen als der Käufer gezahlt. Ein Riesengeschäft für die Klosterkammer nach dem Geldwert eines verpachteten Grundstücks; denn der Kreditgeber erhält für die Hergabe des für den Grundstückserwerb erforderlichen Geldbetrages weit weniger, nur die genannten 92 800 Euro.</w:t>
      </w:r>
    </w:p>
    <w:p w:rsidR="00C8527E" w:rsidRDefault="00C8527E" w:rsidP="00F33525">
      <w:pPr>
        <w:rPr>
          <w:sz w:val="28"/>
          <w:szCs w:val="28"/>
        </w:rPr>
      </w:pPr>
    </w:p>
    <w:p w:rsidR="00C8527E" w:rsidRDefault="00C8527E" w:rsidP="00F33525">
      <w:pPr>
        <w:rPr>
          <w:sz w:val="28"/>
          <w:szCs w:val="28"/>
        </w:rPr>
      </w:pPr>
      <w:r>
        <w:rPr>
          <w:sz w:val="28"/>
          <w:szCs w:val="28"/>
        </w:rPr>
        <w:t>Nur der Vollständigkeit halber: Der Erbbaurechtsnehmer zahlt bis zum Vertragsende 320 000 Euro und steht dann mit leeren Händen da.</w:t>
      </w:r>
    </w:p>
    <w:p w:rsidR="00C8527E" w:rsidRDefault="00C8527E" w:rsidP="00F33525">
      <w:pPr>
        <w:rPr>
          <w:sz w:val="28"/>
          <w:szCs w:val="28"/>
        </w:rPr>
      </w:pPr>
    </w:p>
    <w:p w:rsidR="00C8527E" w:rsidRDefault="00C8527E" w:rsidP="00F33525">
      <w:pPr>
        <w:rPr>
          <w:sz w:val="28"/>
          <w:szCs w:val="28"/>
        </w:rPr>
      </w:pPr>
      <w:r>
        <w:rPr>
          <w:sz w:val="28"/>
          <w:szCs w:val="28"/>
        </w:rPr>
        <w:t>Dieses ernüchternde Ergebnis wäre für die Erb</w:t>
      </w:r>
      <w:r w:rsidR="00140FEE">
        <w:rPr>
          <w:sz w:val="28"/>
          <w:szCs w:val="28"/>
        </w:rPr>
        <w:t xml:space="preserve">baurechtsnehmer noch hinnehmbar und man sollte meinen, dass die Klosterkammer damit auch gut leben könnte. Aber das ist nicht der Fall; denn </w:t>
      </w:r>
      <w:r>
        <w:rPr>
          <w:sz w:val="28"/>
          <w:szCs w:val="28"/>
        </w:rPr>
        <w:t xml:space="preserve"> in die Ve</w:t>
      </w:r>
      <w:r w:rsidR="00140FEE">
        <w:rPr>
          <w:sz w:val="28"/>
          <w:szCs w:val="28"/>
        </w:rPr>
        <w:t>rträge ist</w:t>
      </w:r>
      <w:r>
        <w:rPr>
          <w:sz w:val="28"/>
          <w:szCs w:val="28"/>
        </w:rPr>
        <w:t xml:space="preserve"> ein</w:t>
      </w:r>
      <w:r w:rsidR="00140FEE">
        <w:rPr>
          <w:sz w:val="28"/>
          <w:szCs w:val="28"/>
        </w:rPr>
        <w:t>e Falle eingebaut, die – so wie sie praktiziert wird – der Klosterkammer zu riesigen zusätzlichen Gewinnen verhilft und die Erbbaurechtsnehmer verzweifeln lässt.</w:t>
      </w:r>
    </w:p>
    <w:p w:rsidR="00C8527E" w:rsidRDefault="00C8527E" w:rsidP="00F33525">
      <w:pPr>
        <w:rPr>
          <w:sz w:val="28"/>
          <w:szCs w:val="28"/>
        </w:rPr>
      </w:pPr>
    </w:p>
    <w:p w:rsidR="003A3DF7" w:rsidRDefault="003A3DF7" w:rsidP="00F33525">
      <w:pPr>
        <w:rPr>
          <w:sz w:val="28"/>
          <w:szCs w:val="28"/>
        </w:rPr>
      </w:pPr>
    </w:p>
    <w:p w:rsidR="003A3DF7" w:rsidRDefault="003A3DF7" w:rsidP="00F33525">
      <w:pPr>
        <w:rPr>
          <w:sz w:val="28"/>
          <w:szCs w:val="28"/>
        </w:rPr>
      </w:pPr>
    </w:p>
    <w:p w:rsidR="003A3DF7" w:rsidRDefault="003A3DF7" w:rsidP="00F33525">
      <w:pPr>
        <w:rPr>
          <w:sz w:val="28"/>
          <w:szCs w:val="28"/>
        </w:rPr>
      </w:pPr>
    </w:p>
    <w:p w:rsidR="00C8527E" w:rsidRDefault="00C8527E" w:rsidP="00F33525">
      <w:pPr>
        <w:rPr>
          <w:sz w:val="28"/>
          <w:szCs w:val="28"/>
        </w:rPr>
      </w:pPr>
      <w:r>
        <w:rPr>
          <w:sz w:val="28"/>
          <w:szCs w:val="28"/>
        </w:rPr>
        <w:t xml:space="preserve">Kapitel 2     </w:t>
      </w:r>
      <w:r w:rsidRPr="00C2362C">
        <w:rPr>
          <w:b/>
          <w:sz w:val="28"/>
          <w:szCs w:val="28"/>
        </w:rPr>
        <w:t>Die Anpassungsklausel</w:t>
      </w:r>
    </w:p>
    <w:p w:rsidR="00E52DF7" w:rsidRDefault="00E52DF7" w:rsidP="00F33525">
      <w:pPr>
        <w:rPr>
          <w:sz w:val="28"/>
          <w:szCs w:val="28"/>
        </w:rPr>
      </w:pPr>
    </w:p>
    <w:p w:rsidR="00E52DF7" w:rsidRDefault="00E52DF7" w:rsidP="00F33525">
      <w:pPr>
        <w:rPr>
          <w:sz w:val="28"/>
          <w:szCs w:val="28"/>
        </w:rPr>
      </w:pPr>
      <w:r>
        <w:rPr>
          <w:sz w:val="28"/>
          <w:szCs w:val="28"/>
        </w:rPr>
        <w:t>Nach § 3 des Vertrages ist im Abstand von jeweils 10 Jahren der Erbbauzins zu überprüfen und für dessen Angemessenheit der Lebenshaltungskostenindex bzw. der Verbraucherpreisindex maßgebend.</w:t>
      </w:r>
    </w:p>
    <w:p w:rsidR="00C2362C" w:rsidRDefault="00C2362C" w:rsidP="00F33525">
      <w:pPr>
        <w:rPr>
          <w:sz w:val="28"/>
          <w:szCs w:val="28"/>
        </w:rPr>
      </w:pPr>
    </w:p>
    <w:p w:rsidR="00C2362C" w:rsidRDefault="00012792" w:rsidP="00F33525">
      <w:pPr>
        <w:rPr>
          <w:sz w:val="28"/>
          <w:szCs w:val="28"/>
        </w:rPr>
      </w:pPr>
      <w:r>
        <w:rPr>
          <w:sz w:val="28"/>
          <w:szCs w:val="28"/>
        </w:rPr>
        <w:t>Der Erbbauzins ist die einzigartige Sonderleistung eines speziellen Personenkreises, es gibt keinerlei Berührungspunkte mit den Verbraucherausgaben. Es ist daher völlig verfehlt, sich zu</w:t>
      </w:r>
      <w:r w:rsidR="00E45131">
        <w:rPr>
          <w:sz w:val="28"/>
          <w:szCs w:val="28"/>
        </w:rPr>
        <w:t>r Erzielung höherer Einnahmen</w:t>
      </w:r>
      <w:r>
        <w:rPr>
          <w:sz w:val="28"/>
          <w:szCs w:val="28"/>
        </w:rPr>
        <w:t xml:space="preserve"> diese</w:t>
      </w:r>
      <w:r w:rsidR="00E45131">
        <w:rPr>
          <w:sz w:val="28"/>
          <w:szCs w:val="28"/>
        </w:rPr>
        <w:t>r Statistik zu bedienen</w:t>
      </w:r>
      <w:r>
        <w:rPr>
          <w:sz w:val="28"/>
          <w:szCs w:val="28"/>
        </w:rPr>
        <w:t xml:space="preserve">. Im Übrigen sei der Hinweis erlaubt, dass die Europäische Zentralbank mit viel billigem Geld versucht, die Konjunktur anzukurbeln und die Inflation anzuheizen. </w:t>
      </w:r>
      <w:r w:rsidR="004340D8">
        <w:rPr>
          <w:sz w:val="28"/>
          <w:szCs w:val="28"/>
        </w:rPr>
        <w:t>Diese hat in der Vergangenheit bei 1,8% jährlich gelegen, sie soll nach zwischenzeitlichem Abfall durch gesunkene Energiepreise wieder auf diesen Stand gebracht werden.</w:t>
      </w:r>
      <w:r w:rsidR="00C40D7B">
        <w:rPr>
          <w:sz w:val="28"/>
          <w:szCs w:val="28"/>
        </w:rPr>
        <w:t xml:space="preserve"> Mit diesem Hintergrund sollen Erbbauzinserhöhungen erfolgen?</w:t>
      </w:r>
    </w:p>
    <w:p w:rsidR="004340D8" w:rsidRDefault="004340D8" w:rsidP="00F33525">
      <w:pPr>
        <w:rPr>
          <w:sz w:val="28"/>
          <w:szCs w:val="28"/>
        </w:rPr>
      </w:pPr>
    </w:p>
    <w:p w:rsidR="004340D8" w:rsidRDefault="004340D8" w:rsidP="00F33525">
      <w:pPr>
        <w:rPr>
          <w:sz w:val="28"/>
          <w:szCs w:val="28"/>
        </w:rPr>
      </w:pPr>
      <w:r>
        <w:rPr>
          <w:sz w:val="28"/>
          <w:szCs w:val="28"/>
        </w:rPr>
        <w:t xml:space="preserve">Die Klosterkammer fordert regelmäßig auf dieser Basis Erhöhungen ein. Um bei dem in Kapitel 1 gewählten Beispiel </w:t>
      </w:r>
      <w:r w:rsidR="00C40D7B">
        <w:rPr>
          <w:sz w:val="28"/>
          <w:szCs w:val="28"/>
        </w:rPr>
        <w:t xml:space="preserve">unter Zugrundelegung einer Teuerungsrate von 1,8% jährlich </w:t>
      </w:r>
      <w:r>
        <w:rPr>
          <w:sz w:val="28"/>
          <w:szCs w:val="28"/>
        </w:rPr>
        <w:t>zu bleiben:</w:t>
      </w:r>
    </w:p>
    <w:p w:rsidR="004340D8" w:rsidRDefault="004340D8" w:rsidP="00F33525">
      <w:pPr>
        <w:rPr>
          <w:sz w:val="28"/>
          <w:szCs w:val="28"/>
        </w:rPr>
      </w:pPr>
    </w:p>
    <w:p w:rsidR="004340D8" w:rsidRDefault="004340D8" w:rsidP="00F33525">
      <w:pPr>
        <w:rPr>
          <w:sz w:val="28"/>
          <w:szCs w:val="28"/>
        </w:rPr>
      </w:pPr>
      <w:r>
        <w:rPr>
          <w:sz w:val="28"/>
          <w:szCs w:val="28"/>
        </w:rPr>
        <w:t>Ab dem 11. Jahr steigt der Erbbauzins auf 4720 Euro, ab dem 21. Jahr auf 5 440 Euro und ab dem 31. Jahr auf 6 160 Euro.</w:t>
      </w:r>
      <w:r w:rsidR="0008646C">
        <w:rPr>
          <w:sz w:val="28"/>
          <w:szCs w:val="28"/>
        </w:rPr>
        <w:t xml:space="preserve"> Dadurch steigt der Erbbauzins in 36 Jahren von 144 000 Euro um 34 560 Euro auf 178 560 Euro. Nochmals  zum Vergleich: Ein auf Darlehnsbasis erworbenes Grundstück hat insgesamt 172 800 Euro gekostet</w:t>
      </w:r>
      <w:r w:rsidR="006504BC">
        <w:rPr>
          <w:sz w:val="28"/>
          <w:szCs w:val="28"/>
        </w:rPr>
        <w:t>, der Darlehnsnehmer ist dann schuldenfrei. Der Erbbaurechtsnehmer hat bereits fü</w:t>
      </w:r>
      <w:r w:rsidR="00C40D7B">
        <w:rPr>
          <w:sz w:val="28"/>
          <w:szCs w:val="28"/>
        </w:rPr>
        <w:t xml:space="preserve">r das „geliehene“ Grundstück 5 </w:t>
      </w:r>
      <w:r w:rsidR="006504BC">
        <w:rPr>
          <w:sz w:val="28"/>
          <w:szCs w:val="28"/>
        </w:rPr>
        <w:t xml:space="preserve"> 760 Euro mehr gezahlt und während für das Kaufgrundstück jährlich 4 800 Euro aufzubringen waren, sind es beim Erbbaurecht mittlerweile bereits 6 160 Euro jährlich. Hier bereichert sich das Land </w:t>
      </w:r>
      <w:r w:rsidR="00566315">
        <w:rPr>
          <w:sz w:val="28"/>
          <w:szCs w:val="28"/>
        </w:rPr>
        <w:t>in inakzeptabler Weise auf Kosten eines Personenkreises, der, dem Grundgedanken des Erbbaurechts folgend, gerade nicht zu den Begüterten zählt.  Um diesen Vorwurf zu erhärten, ist Bilanz nach 80 Jahren zu ziehen.</w:t>
      </w:r>
    </w:p>
    <w:p w:rsidR="00C8527E" w:rsidRDefault="00C8527E" w:rsidP="00F33525">
      <w:pPr>
        <w:rPr>
          <w:sz w:val="28"/>
          <w:szCs w:val="28"/>
        </w:rPr>
      </w:pPr>
    </w:p>
    <w:p w:rsidR="00566315" w:rsidRDefault="00566315" w:rsidP="00F33525">
      <w:pPr>
        <w:rPr>
          <w:sz w:val="28"/>
          <w:szCs w:val="28"/>
        </w:rPr>
      </w:pPr>
      <w:r>
        <w:rPr>
          <w:sz w:val="28"/>
          <w:szCs w:val="28"/>
        </w:rPr>
        <w:t>Jahre 1 – 10  Grundsumme  4 000                        =  40 000</w:t>
      </w:r>
    </w:p>
    <w:p w:rsidR="00566315" w:rsidRDefault="00566315" w:rsidP="00F33525">
      <w:pPr>
        <w:rPr>
          <w:sz w:val="28"/>
          <w:szCs w:val="28"/>
        </w:rPr>
      </w:pPr>
      <w:r>
        <w:rPr>
          <w:sz w:val="28"/>
          <w:szCs w:val="28"/>
        </w:rPr>
        <w:t xml:space="preserve">Jahre 11 – 20   + 18%             4 720                        =  47 200 </w:t>
      </w:r>
    </w:p>
    <w:p w:rsidR="00054F6A" w:rsidRDefault="00566315" w:rsidP="00F33525">
      <w:pPr>
        <w:rPr>
          <w:sz w:val="28"/>
          <w:szCs w:val="28"/>
        </w:rPr>
      </w:pPr>
      <w:r>
        <w:rPr>
          <w:sz w:val="28"/>
          <w:szCs w:val="28"/>
        </w:rPr>
        <w:t xml:space="preserve">Jahre 21 – 30   + 18%             </w:t>
      </w:r>
      <w:r w:rsidR="00054F6A">
        <w:rPr>
          <w:sz w:val="28"/>
          <w:szCs w:val="28"/>
        </w:rPr>
        <w:t>5 440                        =  54 400</w:t>
      </w:r>
    </w:p>
    <w:p w:rsidR="00054F6A" w:rsidRDefault="00054F6A" w:rsidP="00F33525">
      <w:pPr>
        <w:rPr>
          <w:sz w:val="28"/>
          <w:szCs w:val="28"/>
        </w:rPr>
      </w:pPr>
      <w:r>
        <w:rPr>
          <w:sz w:val="28"/>
          <w:szCs w:val="28"/>
        </w:rPr>
        <w:t>Jahre 31 – 40   + 18%             6 160                        =  61 600</w:t>
      </w:r>
    </w:p>
    <w:p w:rsidR="00054F6A" w:rsidRDefault="00054F6A" w:rsidP="00F33525">
      <w:pPr>
        <w:rPr>
          <w:sz w:val="28"/>
          <w:szCs w:val="28"/>
        </w:rPr>
      </w:pPr>
      <w:r>
        <w:rPr>
          <w:sz w:val="28"/>
          <w:szCs w:val="28"/>
        </w:rPr>
        <w:t>Jahre 41 -  50   + 18%             6 880                        =  68 800</w:t>
      </w:r>
    </w:p>
    <w:p w:rsidR="00054F6A" w:rsidRDefault="00054F6A" w:rsidP="00F33525">
      <w:pPr>
        <w:rPr>
          <w:sz w:val="28"/>
          <w:szCs w:val="28"/>
        </w:rPr>
      </w:pPr>
      <w:r>
        <w:rPr>
          <w:sz w:val="28"/>
          <w:szCs w:val="28"/>
        </w:rPr>
        <w:t>Jahre 51 -  60   + 18%             7 600                        =  76 000</w:t>
      </w:r>
    </w:p>
    <w:p w:rsidR="00054F6A" w:rsidRDefault="00054F6A" w:rsidP="00F33525">
      <w:pPr>
        <w:rPr>
          <w:sz w:val="28"/>
          <w:szCs w:val="28"/>
        </w:rPr>
      </w:pPr>
      <w:r>
        <w:rPr>
          <w:sz w:val="28"/>
          <w:szCs w:val="28"/>
        </w:rPr>
        <w:t xml:space="preserve">Jahre 61  - 70   + 18%             </w:t>
      </w:r>
      <w:r w:rsidR="00B846CD">
        <w:rPr>
          <w:sz w:val="28"/>
          <w:szCs w:val="28"/>
        </w:rPr>
        <w:t>8 320                        =  83 200</w:t>
      </w:r>
    </w:p>
    <w:p w:rsidR="00B846CD" w:rsidRDefault="00B846CD" w:rsidP="00F33525">
      <w:pPr>
        <w:rPr>
          <w:sz w:val="28"/>
          <w:szCs w:val="28"/>
        </w:rPr>
      </w:pPr>
      <w:r>
        <w:rPr>
          <w:sz w:val="28"/>
          <w:szCs w:val="28"/>
        </w:rPr>
        <w:t>Jahre 71  - 80   + 18%             9 040                        =  90 400</w:t>
      </w:r>
    </w:p>
    <w:p w:rsidR="00054F6A" w:rsidRDefault="00B846CD" w:rsidP="00F33525">
      <w:pPr>
        <w:rPr>
          <w:sz w:val="28"/>
          <w:szCs w:val="28"/>
        </w:rPr>
      </w:pPr>
      <w:r>
        <w:rPr>
          <w:sz w:val="28"/>
          <w:szCs w:val="28"/>
        </w:rPr>
        <w:t>Erbbauzins für die Laufzeit des Vertrages insges. 521 600</w:t>
      </w:r>
    </w:p>
    <w:p w:rsidR="00B846CD" w:rsidRDefault="00B846CD" w:rsidP="00F33525">
      <w:pPr>
        <w:rPr>
          <w:sz w:val="28"/>
          <w:szCs w:val="28"/>
        </w:rPr>
      </w:pPr>
    </w:p>
    <w:p w:rsidR="00B846CD" w:rsidRDefault="00B846CD" w:rsidP="00F33525">
      <w:pPr>
        <w:rPr>
          <w:sz w:val="28"/>
          <w:szCs w:val="28"/>
        </w:rPr>
      </w:pPr>
      <w:r>
        <w:rPr>
          <w:sz w:val="28"/>
          <w:szCs w:val="28"/>
        </w:rPr>
        <w:t xml:space="preserve">Der Erbbaurechtsnehmer zahlt mehr als eine halbe Million für ein Grundstück, an dem er keinerlei Rechte erworben hat und das </w:t>
      </w:r>
      <w:r w:rsidR="001C6046">
        <w:rPr>
          <w:sz w:val="28"/>
          <w:szCs w:val="28"/>
        </w:rPr>
        <w:t>bei Vertragsende</w:t>
      </w:r>
      <w:r w:rsidR="003D6412">
        <w:rPr>
          <w:sz w:val="28"/>
          <w:szCs w:val="28"/>
        </w:rPr>
        <w:t xml:space="preserve"> zurückzugeben ist.</w:t>
      </w:r>
    </w:p>
    <w:p w:rsidR="003D6412" w:rsidRDefault="003D6412" w:rsidP="00F33525">
      <w:pPr>
        <w:rPr>
          <w:sz w:val="28"/>
          <w:szCs w:val="28"/>
        </w:rPr>
      </w:pPr>
    </w:p>
    <w:p w:rsidR="003D6412" w:rsidRDefault="003D6412" w:rsidP="00F33525">
      <w:pPr>
        <w:rPr>
          <w:sz w:val="28"/>
          <w:szCs w:val="28"/>
        </w:rPr>
      </w:pPr>
      <w:r>
        <w:rPr>
          <w:sz w:val="28"/>
          <w:szCs w:val="28"/>
        </w:rPr>
        <w:t xml:space="preserve">Für ein Grundstück im Wert von 80 000 Euro sind jährlich durchschnittlich  </w:t>
      </w:r>
    </w:p>
    <w:p w:rsidR="003D6412" w:rsidRDefault="003D6412" w:rsidP="00F33525">
      <w:pPr>
        <w:rPr>
          <w:sz w:val="28"/>
          <w:szCs w:val="28"/>
        </w:rPr>
      </w:pPr>
      <w:r>
        <w:rPr>
          <w:sz w:val="28"/>
          <w:szCs w:val="28"/>
        </w:rPr>
        <w:t>6 520 Euro Zinsen zu zahlen, das ents</w:t>
      </w:r>
      <w:r w:rsidR="00DD7116">
        <w:rPr>
          <w:sz w:val="28"/>
          <w:szCs w:val="28"/>
        </w:rPr>
        <w:t xml:space="preserve">pricht einem Zinssatz von 8,15%. </w:t>
      </w:r>
      <w:r w:rsidR="004F004B">
        <w:rPr>
          <w:sz w:val="28"/>
          <w:szCs w:val="28"/>
        </w:rPr>
        <w:t xml:space="preserve">Eine wahnsinnig hohe Rendite für eine risikolose Anlage. </w:t>
      </w:r>
      <w:r w:rsidR="00DD7116">
        <w:rPr>
          <w:sz w:val="28"/>
          <w:szCs w:val="28"/>
        </w:rPr>
        <w:t>Das Grundstück wird 6,5mal bezahlt, oder anders ausgedrückt, der Erbbauzins ist so hoch, dass jeweils alle 12,3 Jahre der Wert des Grundstücks  ausgeglichen ist.</w:t>
      </w:r>
    </w:p>
    <w:p w:rsidR="004F004B" w:rsidRDefault="004F004B" w:rsidP="00F33525">
      <w:pPr>
        <w:rPr>
          <w:sz w:val="28"/>
          <w:szCs w:val="28"/>
        </w:rPr>
      </w:pPr>
    </w:p>
    <w:p w:rsidR="004F004B" w:rsidRDefault="004F004B" w:rsidP="00F33525">
      <w:pPr>
        <w:rPr>
          <w:sz w:val="28"/>
          <w:szCs w:val="28"/>
        </w:rPr>
      </w:pPr>
      <w:r>
        <w:rPr>
          <w:sz w:val="28"/>
          <w:szCs w:val="28"/>
        </w:rPr>
        <w:t xml:space="preserve">So fällt das Ergebnis nach den traurigen Erfahrungen mit der Klosterkammer aus. </w:t>
      </w:r>
    </w:p>
    <w:p w:rsidR="004F004B" w:rsidRDefault="004F004B" w:rsidP="00F33525">
      <w:pPr>
        <w:rPr>
          <w:sz w:val="28"/>
          <w:szCs w:val="28"/>
        </w:rPr>
      </w:pPr>
    </w:p>
    <w:p w:rsidR="004F004B" w:rsidRDefault="004F004B" w:rsidP="00F33525">
      <w:pPr>
        <w:rPr>
          <w:sz w:val="28"/>
          <w:szCs w:val="28"/>
        </w:rPr>
      </w:pPr>
      <w:r>
        <w:rPr>
          <w:sz w:val="28"/>
          <w:szCs w:val="28"/>
        </w:rPr>
        <w:t xml:space="preserve">Nun aber zu dem, was für </w:t>
      </w:r>
      <w:r w:rsidR="00C40D7B">
        <w:rPr>
          <w:sz w:val="28"/>
          <w:szCs w:val="28"/>
        </w:rPr>
        <w:t>die</w:t>
      </w:r>
      <w:r>
        <w:rPr>
          <w:sz w:val="28"/>
          <w:szCs w:val="28"/>
        </w:rPr>
        <w:t xml:space="preserve"> Klosterkammer mein</w:t>
      </w:r>
      <w:r w:rsidR="00C40D7B">
        <w:rPr>
          <w:sz w:val="28"/>
          <w:szCs w:val="28"/>
        </w:rPr>
        <w:t xml:space="preserve">er Ansicht nach </w:t>
      </w:r>
      <w:r>
        <w:rPr>
          <w:sz w:val="28"/>
          <w:szCs w:val="28"/>
        </w:rPr>
        <w:t xml:space="preserve"> Konsequenzen haben muss:</w:t>
      </w:r>
    </w:p>
    <w:p w:rsidR="004F004B" w:rsidRDefault="004F004B" w:rsidP="00F33525">
      <w:pPr>
        <w:rPr>
          <w:sz w:val="28"/>
          <w:szCs w:val="28"/>
        </w:rPr>
      </w:pPr>
    </w:p>
    <w:p w:rsidR="004F004B" w:rsidRDefault="004F004B" w:rsidP="00F33525">
      <w:pPr>
        <w:rPr>
          <w:sz w:val="28"/>
          <w:szCs w:val="28"/>
        </w:rPr>
      </w:pPr>
      <w:r>
        <w:rPr>
          <w:sz w:val="28"/>
          <w:szCs w:val="28"/>
        </w:rPr>
        <w:t xml:space="preserve">Im Jahre 1974 ist das Erbbaurechtsgesetz durch den § 9a ergänzt worden, der die Erbbaurechtsnehmer gerade vor </w:t>
      </w:r>
      <w:r w:rsidR="00772B23">
        <w:rPr>
          <w:sz w:val="28"/>
          <w:szCs w:val="28"/>
        </w:rPr>
        <w:t>den beschriebenen Erhöhungen nur nach einem frei gewählten Index schützen soll. Der Erbbaurechtsnehmer muss zu Beginn des Erbbaurechtsverhältnisses</w:t>
      </w:r>
      <w:r>
        <w:rPr>
          <w:sz w:val="28"/>
          <w:szCs w:val="28"/>
        </w:rPr>
        <w:t xml:space="preserve"> </w:t>
      </w:r>
      <w:r w:rsidR="00772B23">
        <w:rPr>
          <w:sz w:val="28"/>
          <w:szCs w:val="28"/>
        </w:rPr>
        <w:t xml:space="preserve">für den Erbbauzins einen (je nach Einkommenslage natürlich unterschiedlichen) bestimmten Anteil seines Einkommens einsetzen. Wird wie oben beschrieben der Erbbauzins nur nach Vertragslage erhöht, gerät das </w:t>
      </w:r>
      <w:r w:rsidR="00AD75CD">
        <w:rPr>
          <w:sz w:val="28"/>
          <w:szCs w:val="28"/>
        </w:rPr>
        <w:t>wirtschaftliche Gefüge in Schieflage, weil dann an anderer Stelle gespart werden muss. Der Erbbaurechtsnehmer wird zum Gefangenen des Erbbauzinses, der bestimmend dafür wird, was er sich sonst noch leisten kann. Das ist genau das Gegenteil von Sinn und Zweck eines in gutem Glauben geschlossenen Vertrages.</w:t>
      </w:r>
    </w:p>
    <w:p w:rsidR="00AD75CD" w:rsidRDefault="00AD75CD" w:rsidP="00F33525">
      <w:pPr>
        <w:rPr>
          <w:sz w:val="28"/>
          <w:szCs w:val="28"/>
        </w:rPr>
      </w:pPr>
    </w:p>
    <w:p w:rsidR="00AD75CD" w:rsidRDefault="00AD75CD" w:rsidP="00F33525">
      <w:pPr>
        <w:rPr>
          <w:sz w:val="28"/>
          <w:szCs w:val="28"/>
        </w:rPr>
      </w:pPr>
      <w:r>
        <w:rPr>
          <w:sz w:val="28"/>
          <w:szCs w:val="28"/>
        </w:rPr>
        <w:t xml:space="preserve">Das, was im Vertrag steht, hat sich der gesetzlichen Regelung unterzuordnen. </w:t>
      </w:r>
    </w:p>
    <w:p w:rsidR="00AD75CD" w:rsidRDefault="00AD75CD" w:rsidP="00F33525">
      <w:pPr>
        <w:rPr>
          <w:sz w:val="28"/>
          <w:szCs w:val="28"/>
        </w:rPr>
      </w:pPr>
      <w:r>
        <w:rPr>
          <w:sz w:val="28"/>
          <w:szCs w:val="28"/>
        </w:rPr>
        <w:t xml:space="preserve">§ 9a enthält eine Billigkeitsklausel, nach der eine lt. Vertrag statthafte Erhöhung auf das Ausmaß begrenzt wird, in dem sich die allgemeinen wirtschaftlichen Verhältnisse verbessert haben. Darüber hinausgehende Teile der Forderung </w:t>
      </w:r>
      <w:r w:rsidR="00E30F7A">
        <w:rPr>
          <w:sz w:val="28"/>
          <w:szCs w:val="28"/>
        </w:rPr>
        <w:t>sind als unbillig anzusehen. Auf diese Weise wird gewährleistet, dass die wirtschaftliche Lage des Erbbaurechtsnehmers im Lot bleibt. Um bei dem gewählten Beispiel zu bleiben: Wenn die Erhöhung lt. Vertrag 18% beträgt, müssen sich auch die wirtschaftlichen Verhältnisse der Bundesbürger um 18% verbessert haben</w:t>
      </w:r>
      <w:r w:rsidR="00C40D7B">
        <w:rPr>
          <w:sz w:val="28"/>
          <w:szCs w:val="28"/>
        </w:rPr>
        <w:t>, damit der Grundstückseigentümer die volle Erhöhung beanspruchen kann</w:t>
      </w:r>
      <w:r w:rsidR="00E30F7A">
        <w:rPr>
          <w:sz w:val="28"/>
          <w:szCs w:val="28"/>
        </w:rPr>
        <w:t xml:space="preserve">. Liegt diese Verbesserung bei nur 4%, darf der Erbbauzins auch nur um 4% steigen. </w:t>
      </w:r>
      <w:r w:rsidR="00990D21">
        <w:rPr>
          <w:sz w:val="28"/>
          <w:szCs w:val="28"/>
        </w:rPr>
        <w:t xml:space="preserve">Haben sich die wirtschaftlichen Verhältnisse </w:t>
      </w:r>
      <w:r w:rsidR="003712C0">
        <w:rPr>
          <w:sz w:val="28"/>
          <w:szCs w:val="28"/>
        </w:rPr>
        <w:t>nicht verbessert, entfällt die nach Vertrag mögliche Erhöhung, der Grundstückseigentümer geht leer aus.</w:t>
      </w:r>
    </w:p>
    <w:p w:rsidR="003712C0" w:rsidRDefault="003712C0" w:rsidP="00F33525">
      <w:pPr>
        <w:rPr>
          <w:sz w:val="28"/>
          <w:szCs w:val="28"/>
        </w:rPr>
      </w:pPr>
    </w:p>
    <w:p w:rsidR="003712C0" w:rsidRDefault="003712C0" w:rsidP="00F33525">
      <w:pPr>
        <w:rPr>
          <w:sz w:val="28"/>
          <w:szCs w:val="28"/>
        </w:rPr>
      </w:pPr>
      <w:r>
        <w:rPr>
          <w:sz w:val="28"/>
          <w:szCs w:val="28"/>
        </w:rPr>
        <w:t xml:space="preserve">Von der Klosterkammer hätte man schon 1974 erwarten dürfen, dass sie sich mit dem über dem Vertrag stehenden Recht befasst und die notwendigen </w:t>
      </w:r>
      <w:r>
        <w:rPr>
          <w:sz w:val="28"/>
          <w:szCs w:val="28"/>
        </w:rPr>
        <w:lastRenderedPageBreak/>
        <w:t xml:space="preserve">Konsequenzen daraus zieht. Das ist aber nicht geschehen. Im Gegenteil, nach außen hin tut sie alles, </w:t>
      </w:r>
      <w:r w:rsidR="000D54D5">
        <w:rPr>
          <w:sz w:val="28"/>
          <w:szCs w:val="28"/>
        </w:rPr>
        <w:t xml:space="preserve">damit keine Diskussion über den so wichtigen § 9a aufkommt. Das beginnt bereits mit der Werbung auf der Homepage „Die Berechnung des Erbbauzinses orientiert sich bei Vertragsabschluss an dem Grundstückswert. Alle 10 Jahre ist inflationsbedingt eine Wertanpassung vorgesehen“ und findet seine Fortsetzung in dem Erbbaurechtsvertrag selbst. In dessen § 3 wird zwar lang und breit über den Preisindex geschrieben, es fehlt aber jeglicher Hinweis auf § 9a </w:t>
      </w:r>
      <w:proofErr w:type="spellStart"/>
      <w:r w:rsidR="000D54D5">
        <w:rPr>
          <w:sz w:val="28"/>
          <w:szCs w:val="28"/>
        </w:rPr>
        <w:t>ErbbauRG</w:t>
      </w:r>
      <w:proofErr w:type="spellEnd"/>
      <w:r w:rsidR="000D54D5">
        <w:rPr>
          <w:sz w:val="28"/>
          <w:szCs w:val="28"/>
        </w:rPr>
        <w:t xml:space="preserve">, der entscheidend dafür ist, was sich unter dem Strich </w:t>
      </w:r>
      <w:r w:rsidR="00C40D7B">
        <w:rPr>
          <w:sz w:val="28"/>
          <w:szCs w:val="28"/>
        </w:rPr>
        <w:t xml:space="preserve">als Erhöhungsbetrag </w:t>
      </w:r>
      <w:r w:rsidR="000D54D5">
        <w:rPr>
          <w:sz w:val="28"/>
          <w:szCs w:val="28"/>
        </w:rPr>
        <w:t>ergibt. Dieses Versäumnis ist von</w:t>
      </w:r>
      <w:r w:rsidR="009C6FE1">
        <w:rPr>
          <w:sz w:val="28"/>
          <w:szCs w:val="28"/>
        </w:rPr>
        <w:t xml:space="preserve"> besonderem Gewicht, weil der</w:t>
      </w:r>
      <w:r w:rsidR="000D54D5">
        <w:rPr>
          <w:sz w:val="28"/>
          <w:szCs w:val="28"/>
        </w:rPr>
        <w:t xml:space="preserve"> Vertragspartner </w:t>
      </w:r>
      <w:r w:rsidR="009C6FE1">
        <w:rPr>
          <w:sz w:val="28"/>
          <w:szCs w:val="28"/>
        </w:rPr>
        <w:t>nicht über seine Rechte aufgeklärt wird. Wenn dieser schwere Fehler auch nicht zur Nichtigkeit des Vertrages führen mag, so wird man doch darüber diskutieren müssen, ob die mit dem Mangel behafteten Erbbauzinserhöhungen, die dann konsequenterweise auch stets ausschließlich mit dem Preisindex begründet word</w:t>
      </w:r>
      <w:r w:rsidR="00054EDB">
        <w:rPr>
          <w:sz w:val="28"/>
          <w:szCs w:val="28"/>
        </w:rPr>
        <w:t>en sind, zurückzunehmen sind. Schließlich</w:t>
      </w:r>
      <w:r w:rsidR="009C6FE1">
        <w:rPr>
          <w:sz w:val="28"/>
          <w:szCs w:val="28"/>
        </w:rPr>
        <w:t xml:space="preserve"> gibt </w:t>
      </w:r>
      <w:r w:rsidR="00054EDB">
        <w:rPr>
          <w:sz w:val="28"/>
          <w:szCs w:val="28"/>
        </w:rPr>
        <w:t xml:space="preserve">es auch </w:t>
      </w:r>
      <w:r w:rsidR="009C6FE1">
        <w:rPr>
          <w:sz w:val="28"/>
          <w:szCs w:val="28"/>
        </w:rPr>
        <w:t xml:space="preserve">einen allgemeinen Rechtsgrundsatz, nach dem derjenige, der einen Anspruch zu haben glaubt, </w:t>
      </w:r>
      <w:r w:rsidR="00B14792">
        <w:rPr>
          <w:sz w:val="28"/>
          <w:szCs w:val="28"/>
        </w:rPr>
        <w:t xml:space="preserve">für dessen Bestehen auch vollumfänglich beweispflichtig ist. </w:t>
      </w:r>
    </w:p>
    <w:p w:rsidR="00B14792" w:rsidRDefault="00B14792" w:rsidP="00F33525">
      <w:pPr>
        <w:rPr>
          <w:sz w:val="28"/>
          <w:szCs w:val="28"/>
        </w:rPr>
      </w:pPr>
    </w:p>
    <w:p w:rsidR="001C6046" w:rsidRDefault="00B14792" w:rsidP="00F33525">
      <w:pPr>
        <w:rPr>
          <w:sz w:val="28"/>
          <w:szCs w:val="28"/>
        </w:rPr>
      </w:pPr>
      <w:r>
        <w:rPr>
          <w:sz w:val="28"/>
          <w:szCs w:val="28"/>
        </w:rPr>
        <w:t>Für mich unverständlich ist es aber auch, dass die beurkundenden Notare, die zur Neutralität verpflichtet sind, das Auslassen des entscheidenden Kriteriums für Erbbauzinserhöhungen in den Verträgen nicht verhindert haben.</w:t>
      </w:r>
      <w:r w:rsidR="001C6046">
        <w:rPr>
          <w:sz w:val="28"/>
          <w:szCs w:val="28"/>
        </w:rPr>
        <w:t xml:space="preserve"> </w:t>
      </w:r>
    </w:p>
    <w:p w:rsidR="001C6046" w:rsidRDefault="001C6046" w:rsidP="00F33525">
      <w:pPr>
        <w:rPr>
          <w:sz w:val="28"/>
          <w:szCs w:val="28"/>
        </w:rPr>
      </w:pPr>
    </w:p>
    <w:p w:rsidR="001C6046" w:rsidRDefault="001C6046" w:rsidP="00F33525">
      <w:pPr>
        <w:rPr>
          <w:sz w:val="28"/>
          <w:szCs w:val="28"/>
        </w:rPr>
      </w:pPr>
      <w:r>
        <w:rPr>
          <w:sz w:val="28"/>
          <w:szCs w:val="28"/>
        </w:rPr>
        <w:t>Mittlerweile gibt es Neuerungen bei der Klosterkammer folgenden Inhalts:</w:t>
      </w:r>
    </w:p>
    <w:p w:rsidR="001C6046" w:rsidRPr="001C6046" w:rsidRDefault="001C6046" w:rsidP="001C6046">
      <w:pPr>
        <w:shd w:val="clear" w:color="auto" w:fill="FFFFFF"/>
        <w:spacing w:before="100" w:beforeAutospacing="1" w:after="100" w:afterAutospacing="1" w:line="312" w:lineRule="atLeast"/>
        <w:rPr>
          <w:rFonts w:ascii="Arial" w:eastAsia="Times New Roman" w:hAnsi="Arial" w:cs="Arial"/>
          <w:i/>
          <w:color w:val="000000"/>
          <w:sz w:val="24"/>
          <w:szCs w:val="24"/>
          <w:lang w:eastAsia="de-DE"/>
        </w:rPr>
      </w:pPr>
      <w:r w:rsidRPr="001C6046">
        <w:rPr>
          <w:rFonts w:ascii="Arial" w:eastAsia="Times New Roman" w:hAnsi="Arial" w:cs="Arial"/>
          <w:i/>
          <w:color w:val="000000"/>
          <w:sz w:val="24"/>
          <w:szCs w:val="24"/>
          <w:lang w:eastAsia="de-DE"/>
        </w:rPr>
        <w:t>Die Berechnung des Erbbauzinses orientiert sich beim Vertragsabschluss an dem Grundstückswert. Alle fünf Jahre ist in der Regel inflationsbedingt eine Wertanpassung vorgesehen. Bei Vertragsende erneuern wir üblicherweise die Verträge mit unseren Erbbaurechtsnehmern, die ein Vorrecht auf die Erneuerung ihrer Verträge haben.</w:t>
      </w:r>
    </w:p>
    <w:p w:rsidR="001C6046" w:rsidRPr="001C6046" w:rsidRDefault="001C6046" w:rsidP="001C6046">
      <w:pPr>
        <w:shd w:val="clear" w:color="auto" w:fill="FFFFFF"/>
        <w:spacing w:beforeAutospacing="1" w:afterAutospacing="1" w:line="343" w:lineRule="atLeast"/>
        <w:outlineLvl w:val="2"/>
        <w:rPr>
          <w:rFonts w:ascii="Arial" w:eastAsia="Times New Roman" w:hAnsi="Arial" w:cs="Arial"/>
          <w:b/>
          <w:bCs/>
          <w:i/>
          <w:color w:val="000000"/>
          <w:sz w:val="27"/>
          <w:szCs w:val="27"/>
          <w:lang w:eastAsia="de-DE"/>
        </w:rPr>
      </w:pPr>
      <w:r w:rsidRPr="001C6046">
        <w:rPr>
          <w:rFonts w:ascii="Arial" w:eastAsia="Times New Roman" w:hAnsi="Arial" w:cs="Arial"/>
          <w:b/>
          <w:bCs/>
          <w:i/>
          <w:color w:val="000000"/>
          <w:sz w:val="27"/>
          <w:szCs w:val="27"/>
          <w:bdr w:val="none" w:sz="0" w:space="0" w:color="auto" w:frame="1"/>
          <w:lang w:eastAsia="de-DE"/>
        </w:rPr>
        <w:t>Planungssicherheit und gute Konditionen bei vorzeitiger Verlängerung</w:t>
      </w:r>
    </w:p>
    <w:p w:rsidR="001C6046" w:rsidRPr="001C6046" w:rsidRDefault="001C6046" w:rsidP="001C6046">
      <w:pPr>
        <w:shd w:val="clear" w:color="auto" w:fill="FFFFFF"/>
        <w:spacing w:before="100" w:beforeAutospacing="1" w:after="100" w:afterAutospacing="1" w:line="312" w:lineRule="atLeast"/>
        <w:rPr>
          <w:rFonts w:ascii="Arial" w:eastAsia="Times New Roman" w:hAnsi="Arial" w:cs="Arial"/>
          <w:i/>
          <w:color w:val="000000"/>
          <w:sz w:val="24"/>
          <w:szCs w:val="24"/>
          <w:lang w:eastAsia="de-DE"/>
        </w:rPr>
      </w:pPr>
      <w:r w:rsidRPr="001C6046">
        <w:rPr>
          <w:rFonts w:ascii="Arial" w:eastAsia="Times New Roman" w:hAnsi="Arial" w:cs="Arial"/>
          <w:i/>
          <w:color w:val="000000"/>
          <w:sz w:val="24"/>
          <w:szCs w:val="24"/>
          <w:lang w:eastAsia="de-DE"/>
        </w:rPr>
        <w:t>Die Klosterkammer bietet bei einer Restlaufzeit von Erbbaurechten zwischen fünf und 40 Jahren eine vorzeitige Vertragsverlängerung an. Der Erbbaurechtsnehmer erhöht damit die Attraktivität seines Erbbaurechtes: Es kann mit einer verlängerten Laufzeit wieder einfacher verkauft oder beliehen werden, beispielsweise mit einem größeren Kredit für umfangreiche Renovierungsarbeiten.</w:t>
      </w:r>
    </w:p>
    <w:p w:rsidR="001C6046" w:rsidRPr="001C6046" w:rsidRDefault="001C6046" w:rsidP="001C6046">
      <w:pPr>
        <w:shd w:val="clear" w:color="auto" w:fill="FFFFFF"/>
        <w:spacing w:before="100" w:beforeAutospacing="1" w:after="100" w:afterAutospacing="1" w:line="312" w:lineRule="atLeast"/>
        <w:rPr>
          <w:rFonts w:ascii="Arial" w:eastAsia="Times New Roman" w:hAnsi="Arial" w:cs="Arial"/>
          <w:i/>
          <w:color w:val="000000"/>
          <w:sz w:val="24"/>
          <w:szCs w:val="24"/>
          <w:lang w:eastAsia="de-DE"/>
        </w:rPr>
      </w:pPr>
      <w:r w:rsidRPr="001C6046">
        <w:rPr>
          <w:rFonts w:ascii="Arial" w:eastAsia="Times New Roman" w:hAnsi="Arial" w:cs="Arial"/>
          <w:i/>
          <w:color w:val="000000"/>
          <w:sz w:val="24"/>
          <w:szCs w:val="24"/>
          <w:lang w:eastAsia="de-DE"/>
        </w:rPr>
        <w:t xml:space="preserve">Sonderkonditionen der Klosterkammer: Wird ein Erbbaurechtsvertrag erneuert, bildet der aktuelle Bodenrichtwert eine wichtige Berechnungsgrundlage. In vielen Bereichen Niedersachsens sind diese Bodenwerte in den vergangenen Jahren stark angestiegen. Bei der vorzeitigen Verlängerung wird für jedes Jahr Restlaufzeit ein </w:t>
      </w:r>
      <w:r w:rsidRPr="001C6046">
        <w:rPr>
          <w:rFonts w:ascii="Arial" w:eastAsia="Times New Roman" w:hAnsi="Arial" w:cs="Arial"/>
          <w:i/>
          <w:color w:val="000000"/>
          <w:sz w:val="24"/>
          <w:szCs w:val="24"/>
          <w:lang w:eastAsia="de-DE"/>
        </w:rPr>
        <w:lastRenderedPageBreak/>
        <w:t>Prozent vom errechneten Quadratmeterpreis abgezogen. Mit diesem vorzeitigen Erneuerungsvertrag steigen die Kosten weniger stark, als bei der regulären Verlängerung. Für ein individuelles Angebot wenden Sie sich bitte an Ihre An</w:t>
      </w:r>
      <w:r w:rsidR="00054EDB">
        <w:rPr>
          <w:rFonts w:ascii="Arial" w:eastAsia="Times New Roman" w:hAnsi="Arial" w:cs="Arial"/>
          <w:i/>
          <w:color w:val="000000"/>
          <w:sz w:val="24"/>
          <w:szCs w:val="24"/>
          <w:lang w:eastAsia="de-DE"/>
        </w:rPr>
        <w:t>sprechpartner</w:t>
      </w:r>
      <w:r w:rsidRPr="001C6046">
        <w:rPr>
          <w:rFonts w:ascii="Arial" w:eastAsia="Times New Roman" w:hAnsi="Arial" w:cs="Arial"/>
          <w:i/>
          <w:color w:val="000000"/>
          <w:sz w:val="24"/>
          <w:szCs w:val="24"/>
          <w:lang w:eastAsia="de-DE"/>
        </w:rPr>
        <w:t> </w:t>
      </w:r>
      <w:r>
        <w:rPr>
          <w:rStyle w:val="apple-converted-space"/>
          <w:rFonts w:ascii="Arial" w:hAnsi="Arial" w:cs="Arial"/>
          <w:color w:val="000000"/>
          <w:shd w:val="clear" w:color="auto" w:fill="FFFFFF"/>
        </w:rPr>
        <w:t> </w:t>
      </w:r>
      <w:r w:rsidRPr="001C6046">
        <w:rPr>
          <w:rFonts w:ascii="Arial" w:hAnsi="Arial" w:cs="Arial"/>
          <w:i/>
          <w:color w:val="000000"/>
          <w:shd w:val="clear" w:color="auto" w:fill="FFFFFF"/>
        </w:rPr>
        <w:t>in dem zuständigen Rentamt.</w:t>
      </w:r>
    </w:p>
    <w:p w:rsidR="001C6046" w:rsidRDefault="001C6046" w:rsidP="00F33525">
      <w:pPr>
        <w:rPr>
          <w:sz w:val="28"/>
          <w:szCs w:val="28"/>
        </w:rPr>
      </w:pPr>
      <w:r>
        <w:rPr>
          <w:sz w:val="28"/>
          <w:szCs w:val="28"/>
        </w:rPr>
        <w:t xml:space="preserve">Obgleich die Klosterkammer seit vielen Jahren in der Kritik steht, lässt sie es sich nicht nehmen, zur Steigerung des Profits die Erbbaurechtsnehmer nicht mehr nach 10, sondern schon nach 5 Jahren erneut zur Kasse zu bitten. </w:t>
      </w:r>
      <w:r w:rsidR="00615DF0">
        <w:rPr>
          <w:sz w:val="28"/>
          <w:szCs w:val="28"/>
        </w:rPr>
        <w:t xml:space="preserve">Mit der dubiosen vorzeitigen Verlängerung wird ein dem Erbbaurecht fremder Weg beschritten, der möglicherweise </w:t>
      </w:r>
      <w:r w:rsidR="0092476B">
        <w:rPr>
          <w:sz w:val="28"/>
          <w:szCs w:val="28"/>
        </w:rPr>
        <w:t>mit dem Erbbaurechtsgesetz nicht vereinbar ist.</w:t>
      </w:r>
    </w:p>
    <w:p w:rsidR="0092476B" w:rsidRDefault="0092476B" w:rsidP="00F33525">
      <w:pPr>
        <w:rPr>
          <w:sz w:val="28"/>
          <w:szCs w:val="28"/>
        </w:rPr>
      </w:pPr>
    </w:p>
    <w:p w:rsidR="0092476B" w:rsidRDefault="0092476B" w:rsidP="00F33525">
      <w:pPr>
        <w:rPr>
          <w:sz w:val="28"/>
          <w:szCs w:val="28"/>
        </w:rPr>
      </w:pPr>
      <w:r>
        <w:rPr>
          <w:sz w:val="28"/>
          <w:szCs w:val="28"/>
        </w:rPr>
        <w:t>Handelt die Klosterkammer im Alleingang oder wird bei so wichtigen Änderungen die Zustimmung des Wissenschaftsministeriums eingeholt?</w:t>
      </w:r>
    </w:p>
    <w:p w:rsidR="001C6046" w:rsidRDefault="001C6046" w:rsidP="00F33525">
      <w:pPr>
        <w:rPr>
          <w:sz w:val="28"/>
          <w:szCs w:val="28"/>
        </w:rPr>
      </w:pPr>
    </w:p>
    <w:p w:rsidR="00402519" w:rsidRPr="00E30D15" w:rsidRDefault="00402519" w:rsidP="00F33525">
      <w:pPr>
        <w:rPr>
          <w:b/>
          <w:sz w:val="28"/>
          <w:szCs w:val="28"/>
        </w:rPr>
      </w:pPr>
      <w:r>
        <w:rPr>
          <w:sz w:val="28"/>
          <w:szCs w:val="28"/>
        </w:rPr>
        <w:t>Kapitel 3</w:t>
      </w:r>
      <w:r w:rsidR="00E30D15">
        <w:rPr>
          <w:sz w:val="28"/>
          <w:szCs w:val="28"/>
        </w:rPr>
        <w:t xml:space="preserve">  </w:t>
      </w:r>
      <w:r w:rsidR="00E30D15" w:rsidRPr="00E30D15">
        <w:rPr>
          <w:b/>
          <w:sz w:val="28"/>
          <w:szCs w:val="28"/>
        </w:rPr>
        <w:t>Die sachgerechte Anwendung des § 9a</w:t>
      </w:r>
    </w:p>
    <w:p w:rsidR="00B14792" w:rsidRDefault="00B14792" w:rsidP="00F33525">
      <w:pPr>
        <w:rPr>
          <w:sz w:val="28"/>
          <w:szCs w:val="28"/>
        </w:rPr>
      </w:pPr>
    </w:p>
    <w:p w:rsidR="00B14792" w:rsidRDefault="00E30D15" w:rsidP="00F33525">
      <w:pPr>
        <w:rPr>
          <w:sz w:val="28"/>
          <w:szCs w:val="28"/>
        </w:rPr>
      </w:pPr>
      <w:r>
        <w:rPr>
          <w:sz w:val="28"/>
          <w:szCs w:val="28"/>
        </w:rPr>
        <w:t>Wer glaubt, Kritik üben zu müssen, sollte auch den eigenen Standpunkt darlegen. Das soll mit den folgenden Ausführungen geschehen.</w:t>
      </w:r>
    </w:p>
    <w:p w:rsidR="00E30D15" w:rsidRDefault="00E30D15" w:rsidP="00F33525">
      <w:pPr>
        <w:rPr>
          <w:sz w:val="28"/>
          <w:szCs w:val="28"/>
        </w:rPr>
      </w:pPr>
    </w:p>
    <w:p w:rsidR="00E30D15" w:rsidRDefault="00E30D15" w:rsidP="00F33525">
      <w:pPr>
        <w:rPr>
          <w:sz w:val="28"/>
          <w:szCs w:val="28"/>
        </w:rPr>
      </w:pPr>
      <w:r>
        <w:rPr>
          <w:sz w:val="28"/>
          <w:szCs w:val="28"/>
        </w:rPr>
        <w:t xml:space="preserve">Der entscheidende Satz des § 9a lautet: „Ein Erhöhungsanspruch ist regelmäßig als unbillig anzusehen, </w:t>
      </w:r>
      <w:r w:rsidR="00446E9B">
        <w:rPr>
          <w:sz w:val="28"/>
          <w:szCs w:val="28"/>
        </w:rPr>
        <w:t>wenn und soweit die nach der vereinbarten Bemessungsgrundlage zu errechnende Erhöhung über die seit Vertragsabschluss eingetretene Änderung der allgemeinen wirtschaftlichen Verhältnisse hinausgeht“.</w:t>
      </w:r>
    </w:p>
    <w:p w:rsidR="00446E9B" w:rsidRDefault="00446E9B" w:rsidP="00F33525">
      <w:pPr>
        <w:rPr>
          <w:sz w:val="28"/>
          <w:szCs w:val="28"/>
        </w:rPr>
      </w:pPr>
    </w:p>
    <w:p w:rsidR="00446E9B" w:rsidRDefault="00446E9B" w:rsidP="00F33525">
      <w:pPr>
        <w:rPr>
          <w:sz w:val="28"/>
          <w:szCs w:val="28"/>
        </w:rPr>
      </w:pPr>
      <w:r>
        <w:rPr>
          <w:sz w:val="28"/>
          <w:szCs w:val="28"/>
        </w:rPr>
        <w:t>Im voraufgehen</w:t>
      </w:r>
      <w:r w:rsidR="0099165F">
        <w:rPr>
          <w:sz w:val="28"/>
          <w:szCs w:val="28"/>
        </w:rPr>
        <w:t>den Kapitel habe ich bereits</w:t>
      </w:r>
      <w:r>
        <w:rPr>
          <w:sz w:val="28"/>
          <w:szCs w:val="28"/>
        </w:rPr>
        <w:t xml:space="preserve"> Kürzungen </w:t>
      </w:r>
      <w:r w:rsidR="0099165F">
        <w:rPr>
          <w:sz w:val="28"/>
          <w:szCs w:val="28"/>
        </w:rPr>
        <w:t>der vertraglich zulässigen Erhöhungen bis hin zum Entfall angesprochen. Aber wie muss vorgegangen werden, damit Erbbauzinserhöhungen auf das Ausmaß einer Verbesserung der allgemeinen wirtschaftlichen Verhältnisse beschränkt bleiben?</w:t>
      </w:r>
    </w:p>
    <w:p w:rsidR="00816F3D" w:rsidRDefault="00816F3D" w:rsidP="00F33525">
      <w:pPr>
        <w:rPr>
          <w:sz w:val="28"/>
          <w:szCs w:val="28"/>
        </w:rPr>
      </w:pPr>
    </w:p>
    <w:p w:rsidR="000F1186" w:rsidRDefault="00816F3D" w:rsidP="00F33525">
      <w:pPr>
        <w:rPr>
          <w:sz w:val="28"/>
          <w:szCs w:val="28"/>
        </w:rPr>
      </w:pPr>
      <w:r>
        <w:rPr>
          <w:sz w:val="28"/>
          <w:szCs w:val="28"/>
        </w:rPr>
        <w:t xml:space="preserve">Lassen Sie mich mit dem Urteil des Bundesgerichtshofs (BGH) vom 23.05.1980,  VZR 129/76, beginnen. </w:t>
      </w:r>
      <w:r w:rsidR="00054EDB">
        <w:rPr>
          <w:sz w:val="28"/>
          <w:szCs w:val="28"/>
        </w:rPr>
        <w:t>Danach sollte nach Befragung des Statistischen Bundesamtes m</w:t>
      </w:r>
      <w:r w:rsidR="00811169">
        <w:rPr>
          <w:sz w:val="28"/>
          <w:szCs w:val="28"/>
        </w:rPr>
        <w:t>angels</w:t>
      </w:r>
      <w:r w:rsidR="00054EDB">
        <w:rPr>
          <w:sz w:val="28"/>
          <w:szCs w:val="28"/>
        </w:rPr>
        <w:t xml:space="preserve"> Alternativen </w:t>
      </w:r>
      <w:r w:rsidR="00811169">
        <w:rPr>
          <w:sz w:val="28"/>
          <w:szCs w:val="28"/>
        </w:rPr>
        <w:t xml:space="preserve"> für die Einkommensseite auf die vom Statistischen Bundesamt veröffentlichten Daten über die Bruttoverdienste der Arbeiter in der Industrie sowie auf die Bruttoverdienste der Angestellten in Industrie und Handel zurückgegriffen und daraus ein Durchschnittswert gebildet werden (also durch Addition beider Ergebnisse geteilt dur</w:t>
      </w:r>
      <w:r w:rsidR="00054EDB">
        <w:rPr>
          <w:sz w:val="28"/>
          <w:szCs w:val="28"/>
        </w:rPr>
        <w:t>ch zwei). In der Urteilsbegründung, die sich zunächst mit dem Preisindex beschäftigt, heißt es dann wörtlich</w:t>
      </w:r>
      <w:r w:rsidR="00811169">
        <w:rPr>
          <w:sz w:val="28"/>
          <w:szCs w:val="28"/>
        </w:rPr>
        <w:t>: „</w:t>
      </w:r>
      <w:r w:rsidR="00232796">
        <w:rPr>
          <w:sz w:val="28"/>
          <w:szCs w:val="28"/>
        </w:rPr>
        <w:t xml:space="preserve"> ….Damit  (Anmerkung: </w:t>
      </w:r>
      <w:r w:rsidR="00703DE0">
        <w:rPr>
          <w:sz w:val="28"/>
          <w:szCs w:val="28"/>
        </w:rPr>
        <w:t>bezogen auf die</w:t>
      </w:r>
      <w:r w:rsidR="00232796">
        <w:rPr>
          <w:sz w:val="28"/>
          <w:szCs w:val="28"/>
        </w:rPr>
        <w:t xml:space="preserve"> Lebenshaltungskosten) ist aber erst die eine Seite der allgemeinen </w:t>
      </w:r>
      <w:r w:rsidR="00232796">
        <w:rPr>
          <w:sz w:val="28"/>
          <w:szCs w:val="28"/>
        </w:rPr>
        <w:lastRenderedPageBreak/>
        <w:t xml:space="preserve">wirtschaftlichen Verhältnisse </w:t>
      </w:r>
      <w:r w:rsidR="00703DE0">
        <w:rPr>
          <w:sz w:val="28"/>
          <w:szCs w:val="28"/>
        </w:rPr>
        <w:t xml:space="preserve">berücksichtigt, denn die Entwicklung der Lebenshaltungskosten besagt noch nichts darüber, ob und wie sich das Niveau der Lebenshaltung, der sogenannte Lebensstandard, geändert hat. </w:t>
      </w:r>
      <w:r w:rsidR="00811169">
        <w:rPr>
          <w:sz w:val="28"/>
          <w:szCs w:val="28"/>
        </w:rPr>
        <w:t>Aussagekräftig für die allgemeine</w:t>
      </w:r>
      <w:r w:rsidR="00F51D02">
        <w:rPr>
          <w:sz w:val="28"/>
          <w:szCs w:val="28"/>
        </w:rPr>
        <w:t xml:space="preserve"> Verbesserung der Lebenshaltung  ist die Veränderung der Einkommensverhältnisse in Relation </w:t>
      </w:r>
      <w:r w:rsidR="00232796">
        <w:rPr>
          <w:sz w:val="28"/>
          <w:szCs w:val="28"/>
        </w:rPr>
        <w:t xml:space="preserve">(Anmerkung: das Verhältnis zwischen zwei Ereignissen, hier einerseits das Einkommen, andererseits der Verbraucherpreis) zu der Entwicklung der Lebenshaltungskosten; erst mit der Berücksichtigung beider Komponenten zusammen </w:t>
      </w:r>
      <w:r w:rsidR="00703DE0">
        <w:rPr>
          <w:sz w:val="28"/>
          <w:szCs w:val="28"/>
        </w:rPr>
        <w:t>wird das Gesamtbild der allgemeinen wirtschaftlichen Verhältnisse zutreffend gekennzeichnet. Gesichtspunkte, die im Rahmen diese</w:t>
      </w:r>
      <w:r w:rsidR="000F1186">
        <w:rPr>
          <w:sz w:val="28"/>
          <w:szCs w:val="28"/>
        </w:rPr>
        <w:t>s</w:t>
      </w:r>
      <w:r w:rsidR="00703DE0">
        <w:rPr>
          <w:sz w:val="28"/>
          <w:szCs w:val="28"/>
        </w:rPr>
        <w:t xml:space="preserve"> Zusammenspiels eine unterschiedliche Gewichtung der Lebenshaltungskosten einerseits und der Einkommen andererseits rechtfertigen könnten, sind nicht ersichtlich“. </w:t>
      </w:r>
      <w:r w:rsidR="00E11CA9">
        <w:rPr>
          <w:rStyle w:val="apple-converted-space"/>
          <w:rFonts w:ascii="Arial" w:hAnsi="Arial" w:cs="Arial"/>
          <w:color w:val="000000"/>
          <w:shd w:val="clear" w:color="auto" w:fill="FFFFFF"/>
        </w:rPr>
        <w:t> </w:t>
      </w:r>
    </w:p>
    <w:p w:rsidR="000F1186" w:rsidRDefault="000F1186" w:rsidP="00F33525">
      <w:pPr>
        <w:rPr>
          <w:sz w:val="28"/>
          <w:szCs w:val="28"/>
        </w:rPr>
      </w:pPr>
    </w:p>
    <w:p w:rsidR="000F1186" w:rsidRDefault="000F1186" w:rsidP="00F33525">
      <w:pPr>
        <w:rPr>
          <w:sz w:val="28"/>
          <w:szCs w:val="28"/>
        </w:rPr>
      </w:pPr>
      <w:r>
        <w:rPr>
          <w:sz w:val="28"/>
          <w:szCs w:val="28"/>
        </w:rPr>
        <w:t xml:space="preserve">Der Senat hat damit klipp und klar zum Ausdruckgebracht, dass </w:t>
      </w:r>
    </w:p>
    <w:p w:rsidR="000F1186" w:rsidRDefault="000F1186" w:rsidP="00F33525">
      <w:pPr>
        <w:rPr>
          <w:sz w:val="28"/>
          <w:szCs w:val="28"/>
        </w:rPr>
      </w:pPr>
      <w:r>
        <w:rPr>
          <w:sz w:val="28"/>
          <w:szCs w:val="28"/>
        </w:rPr>
        <w:t>a) eine nach Vertragslage in Betracht kommende Erbbauzinserhöhung überhaupt nur dann zum Tragen kommen kann, wenn die Einkommen stärker als die Preise steigen,</w:t>
      </w:r>
    </w:p>
    <w:p w:rsidR="00E7514D" w:rsidRDefault="000F1186" w:rsidP="00F33525">
      <w:pPr>
        <w:rPr>
          <w:sz w:val="28"/>
          <w:szCs w:val="28"/>
        </w:rPr>
      </w:pPr>
      <w:r>
        <w:rPr>
          <w:sz w:val="28"/>
          <w:szCs w:val="28"/>
        </w:rPr>
        <w:t>b) das Ausmaß der Er</w:t>
      </w:r>
      <w:r w:rsidR="00E7514D">
        <w:rPr>
          <w:sz w:val="28"/>
          <w:szCs w:val="28"/>
        </w:rPr>
        <w:t xml:space="preserve">höhung davon abhängig ist, in welchem (prozentualen) Verhältnis die Einkommen stärker als die Preise steigen. </w:t>
      </w:r>
    </w:p>
    <w:p w:rsidR="00E7514D" w:rsidRDefault="00E7514D" w:rsidP="00F33525">
      <w:pPr>
        <w:rPr>
          <w:sz w:val="28"/>
          <w:szCs w:val="28"/>
        </w:rPr>
      </w:pPr>
    </w:p>
    <w:p w:rsidR="000F1186" w:rsidRDefault="00E7514D" w:rsidP="00F33525">
      <w:pPr>
        <w:rPr>
          <w:sz w:val="28"/>
          <w:szCs w:val="28"/>
        </w:rPr>
      </w:pPr>
      <w:r>
        <w:rPr>
          <w:sz w:val="28"/>
          <w:szCs w:val="28"/>
        </w:rPr>
        <w:t xml:space="preserve">Vom Statistischen Bundesamt ist mir mehrfach bestätigt worden, dass zur Ermittlung des Ausmaßes der Verbesserung </w:t>
      </w:r>
      <w:r w:rsidR="00054EDB">
        <w:rPr>
          <w:sz w:val="28"/>
          <w:szCs w:val="28"/>
        </w:rPr>
        <w:t xml:space="preserve">in den wirtschaftlichen Verhältnissen </w:t>
      </w:r>
      <w:r>
        <w:rPr>
          <w:sz w:val="28"/>
          <w:szCs w:val="28"/>
        </w:rPr>
        <w:t xml:space="preserve">ausschließlich ein Divisionsverfahren angewandt wird, bei dem die Einkommen in den Zähler und die Preise in den Nenner gestellt werden. </w:t>
      </w:r>
      <w:r w:rsidR="00D60802">
        <w:rPr>
          <w:sz w:val="28"/>
          <w:szCs w:val="28"/>
        </w:rPr>
        <w:t>Das Statistische Bundesamt führt dazu beispielsweise aus:</w:t>
      </w:r>
    </w:p>
    <w:p w:rsidR="00134865" w:rsidRDefault="00134865" w:rsidP="00F33525">
      <w:pPr>
        <w:rPr>
          <w:sz w:val="28"/>
          <w:szCs w:val="28"/>
        </w:rPr>
      </w:pPr>
    </w:p>
    <w:p w:rsidR="00D60802" w:rsidRDefault="00D60802" w:rsidP="00F33525">
      <w:pPr>
        <w:rPr>
          <w:sz w:val="28"/>
          <w:szCs w:val="28"/>
        </w:rPr>
      </w:pPr>
      <w:r>
        <w:t xml:space="preserve">Der Reallohnindex berücksichtigt zusätzlich die Preisentwicklung. Dieser Index wird als Bruch berechnet. Im Zähler steht der Nominallohnindex und im Nenner der Verbraucherpreisindex. Bei einer positiven Reallohnentwicklung sind die Bruttomonatsverdienste stärker gestiegen als die Verbraucherpreise. Im umgekehrten Fall ist die Reallohnentwicklung negativ. </w:t>
      </w:r>
    </w:p>
    <w:p w:rsidR="00C2394D" w:rsidRPr="00134865" w:rsidRDefault="00C2394D" w:rsidP="00F33525">
      <w:r>
        <w:t>Der Reallohnindex wird als Quotient aus dem Nominallohnindex und dem Verbraucherpr</w:t>
      </w:r>
      <w:r w:rsidR="00134865">
        <w:t>eisindex berechnet.   Text aus „Verdienste und Arbeitskosten</w:t>
      </w:r>
      <w:r w:rsidR="00341FEF">
        <w:t xml:space="preserve"> Reallohnindex und Nominallohnindex“.</w:t>
      </w:r>
    </w:p>
    <w:p w:rsidR="00D60802" w:rsidRPr="00C2394D" w:rsidRDefault="00D60802" w:rsidP="00F33525">
      <w:pPr>
        <w:rPr>
          <w:sz w:val="28"/>
          <w:szCs w:val="28"/>
        </w:rPr>
      </w:pPr>
    </w:p>
    <w:p w:rsidR="00D60802" w:rsidRDefault="00D60802" w:rsidP="00F33525">
      <w:pPr>
        <w:rPr>
          <w:sz w:val="28"/>
          <w:szCs w:val="28"/>
        </w:rPr>
      </w:pPr>
    </w:p>
    <w:p w:rsidR="00FD3322" w:rsidRDefault="00E7514D" w:rsidP="00F33525">
      <w:pPr>
        <w:rPr>
          <w:sz w:val="28"/>
          <w:szCs w:val="28"/>
        </w:rPr>
      </w:pPr>
      <w:r>
        <w:rPr>
          <w:sz w:val="28"/>
          <w:szCs w:val="28"/>
        </w:rPr>
        <w:t xml:space="preserve">Übertragen auf Erbbauzinserhöhungen, bei denen nach der vom BGH angewandten Einkommenstabelle in 10 Jahren eine  Verbesserung von 24% einer Preissteigerung von 18% gegenüberstand, ergibt </w:t>
      </w:r>
      <w:r w:rsidR="00C255EC">
        <w:rPr>
          <w:sz w:val="28"/>
          <w:szCs w:val="28"/>
        </w:rPr>
        <w:t xml:space="preserve">sich danach folgende Berechnung </w:t>
      </w:r>
      <w:r w:rsidR="00FD3322">
        <w:rPr>
          <w:sz w:val="28"/>
          <w:szCs w:val="28"/>
        </w:rPr>
        <w:t xml:space="preserve">nach der Formel </w:t>
      </w:r>
      <w:proofErr w:type="gramStart"/>
      <w:r w:rsidR="00FD3322">
        <w:rPr>
          <w:sz w:val="28"/>
          <w:szCs w:val="28"/>
        </w:rPr>
        <w:t>Nominallohni</w:t>
      </w:r>
      <w:r w:rsidR="00341FEF">
        <w:rPr>
          <w:sz w:val="28"/>
          <w:szCs w:val="28"/>
        </w:rPr>
        <w:t>ndex :</w:t>
      </w:r>
      <w:proofErr w:type="gramEnd"/>
      <w:r w:rsidR="00341FEF">
        <w:rPr>
          <w:sz w:val="28"/>
          <w:szCs w:val="28"/>
        </w:rPr>
        <w:t xml:space="preserve"> Verbraucherpreisindex  *</w:t>
      </w:r>
      <w:r w:rsidR="00FD3322">
        <w:rPr>
          <w:sz w:val="28"/>
          <w:szCs w:val="28"/>
        </w:rPr>
        <w:t xml:space="preserve"> 100</w:t>
      </w:r>
    </w:p>
    <w:p w:rsidR="00E7514D" w:rsidRDefault="00FD3322" w:rsidP="00F33525">
      <w:pPr>
        <w:rPr>
          <w:sz w:val="28"/>
          <w:szCs w:val="28"/>
        </w:rPr>
      </w:pPr>
      <w:r>
        <w:rPr>
          <w:sz w:val="28"/>
          <w:szCs w:val="28"/>
        </w:rPr>
        <w:t>A</w:t>
      </w:r>
      <w:r w:rsidR="00FA0023">
        <w:rPr>
          <w:sz w:val="28"/>
          <w:szCs w:val="28"/>
        </w:rPr>
        <w:t>usgangspunkt 100 =</w:t>
      </w:r>
      <w:r>
        <w:rPr>
          <w:sz w:val="28"/>
          <w:szCs w:val="28"/>
        </w:rPr>
        <w:t xml:space="preserve"> 124:118 = 1,051 x 100 = 105,1. In diesem Falle erhöht sich der Erbbauzins um 5,1%. </w:t>
      </w:r>
      <w:r w:rsidR="00FA0023">
        <w:rPr>
          <w:sz w:val="28"/>
          <w:szCs w:val="28"/>
        </w:rPr>
        <w:t>Demgegenüber hat die Klosterkammer 18% geltend gemacht und auch erhalten.</w:t>
      </w:r>
    </w:p>
    <w:p w:rsidR="00FA0023" w:rsidRDefault="00FA0023" w:rsidP="00F33525">
      <w:pPr>
        <w:rPr>
          <w:sz w:val="28"/>
          <w:szCs w:val="28"/>
        </w:rPr>
      </w:pPr>
    </w:p>
    <w:p w:rsidR="00FA0023" w:rsidRDefault="00FA0023" w:rsidP="00F33525">
      <w:pPr>
        <w:rPr>
          <w:sz w:val="28"/>
          <w:szCs w:val="28"/>
        </w:rPr>
      </w:pPr>
      <w:r>
        <w:rPr>
          <w:sz w:val="28"/>
          <w:szCs w:val="28"/>
        </w:rPr>
        <w:lastRenderedPageBreak/>
        <w:t xml:space="preserve">An dieser Stelle will ich nicht den Schlusssatz im Urteil des BGH zu der obigen wörtlichen Wiedergabe verschweigen: „Der Senat hält es daher für geboten, beide Kriterien in gleicher Weise zu berücksichtigen; als Maßstab für die Bemessung der allgemeinen wirtschaftlichen Verhältnisse </w:t>
      </w:r>
      <w:r w:rsidR="00D704D6">
        <w:rPr>
          <w:sz w:val="28"/>
          <w:szCs w:val="28"/>
        </w:rPr>
        <w:t xml:space="preserve">im Sinne des § 9 a Abs. 1 Satz 2 </w:t>
      </w:r>
      <w:proofErr w:type="spellStart"/>
      <w:r w:rsidR="00D704D6">
        <w:rPr>
          <w:sz w:val="28"/>
          <w:szCs w:val="28"/>
        </w:rPr>
        <w:t>ErbbauVO</w:t>
      </w:r>
      <w:proofErr w:type="spellEnd"/>
      <w:r w:rsidR="00D704D6">
        <w:rPr>
          <w:sz w:val="28"/>
          <w:szCs w:val="28"/>
        </w:rPr>
        <w:t xml:space="preserve"> kommt sonach der aus den prozentualen Steigerungen dieser beiden Kriterien gebildete Durchschnittswert in Betracht“. </w:t>
      </w:r>
    </w:p>
    <w:p w:rsidR="00D704D6" w:rsidRDefault="00D704D6" w:rsidP="00F33525">
      <w:pPr>
        <w:rPr>
          <w:sz w:val="28"/>
          <w:szCs w:val="28"/>
        </w:rPr>
      </w:pPr>
    </w:p>
    <w:p w:rsidR="00D704D6" w:rsidRDefault="00D704D6" w:rsidP="00F33525">
      <w:pPr>
        <w:rPr>
          <w:sz w:val="28"/>
          <w:szCs w:val="28"/>
        </w:rPr>
      </w:pPr>
      <w:r>
        <w:rPr>
          <w:sz w:val="28"/>
          <w:szCs w:val="28"/>
        </w:rPr>
        <w:t>Mit dieser Rechenmethode setzt sich der Senat in einen Widerspruch zu dem, was er zwei Sätze zuvor erklärt hat (in Relation…</w:t>
      </w:r>
      <w:r w:rsidR="00B54177">
        <w:rPr>
          <w:sz w:val="28"/>
          <w:szCs w:val="28"/>
        </w:rPr>
        <w:t xml:space="preserve">..). Auch </w:t>
      </w:r>
      <w:r>
        <w:rPr>
          <w:sz w:val="28"/>
          <w:szCs w:val="28"/>
        </w:rPr>
        <w:t>dem BGH ist es nicht gestattet, sich über di</w:t>
      </w:r>
      <w:r w:rsidR="00B54177">
        <w:rPr>
          <w:sz w:val="28"/>
          <w:szCs w:val="28"/>
        </w:rPr>
        <w:t>e außerhalb der juristischen Aufarbeitung</w:t>
      </w:r>
      <w:r>
        <w:rPr>
          <w:sz w:val="28"/>
          <w:szCs w:val="28"/>
        </w:rPr>
        <w:t xml:space="preserve"> </w:t>
      </w:r>
      <w:r w:rsidR="00B54177">
        <w:rPr>
          <w:sz w:val="28"/>
          <w:szCs w:val="28"/>
        </w:rPr>
        <w:t>liegenden Standards der Volkswirtschaftslehre hinwegzusetzen. Das ist aber auch nicht beabsichtigt gewesen; denn sonst hätte der Senat sein abweichendes Modell erklären müssen. Dieser Irrtum hätte für obiges Beispiel Folgendes bedeutet:</w:t>
      </w:r>
    </w:p>
    <w:p w:rsidR="00B54177" w:rsidRDefault="00B54177" w:rsidP="00F33525">
      <w:pPr>
        <w:rPr>
          <w:sz w:val="28"/>
          <w:szCs w:val="28"/>
        </w:rPr>
      </w:pPr>
      <w:r>
        <w:rPr>
          <w:sz w:val="28"/>
          <w:szCs w:val="28"/>
        </w:rPr>
        <w:t>24 + 18 = 42 : 2 = 21. Dass diese Rechnung nicht stimmen kann, ist offensichtlich.</w:t>
      </w:r>
    </w:p>
    <w:p w:rsidR="00B54177" w:rsidRDefault="00B54177" w:rsidP="00F33525">
      <w:pPr>
        <w:rPr>
          <w:sz w:val="28"/>
          <w:szCs w:val="28"/>
        </w:rPr>
      </w:pPr>
    </w:p>
    <w:p w:rsidR="00B54177" w:rsidRDefault="00B54177" w:rsidP="00F33525">
      <w:pPr>
        <w:rPr>
          <w:sz w:val="28"/>
          <w:szCs w:val="28"/>
        </w:rPr>
      </w:pPr>
      <w:r>
        <w:rPr>
          <w:sz w:val="28"/>
          <w:szCs w:val="28"/>
        </w:rPr>
        <w:t>Das Statistische Bundesamt hat auf meine Anfrage zu dieser Widersprüchlichkeit erklärt, dass der BGH zwar Rückfrage bezüglich einer geeigneten Einkommensstatistik gehalten habe, aber nicht zu der</w:t>
      </w:r>
      <w:r w:rsidR="00DB0189">
        <w:rPr>
          <w:sz w:val="28"/>
          <w:szCs w:val="28"/>
        </w:rPr>
        <w:t xml:space="preserve"> anzuwendenden Rechenmethode.</w:t>
      </w:r>
    </w:p>
    <w:p w:rsidR="00DB0189" w:rsidRDefault="00DB0189" w:rsidP="00F33525">
      <w:pPr>
        <w:rPr>
          <w:sz w:val="28"/>
          <w:szCs w:val="28"/>
        </w:rPr>
      </w:pPr>
    </w:p>
    <w:p w:rsidR="00DB0189" w:rsidRDefault="00DB0189" w:rsidP="00F33525">
      <w:pPr>
        <w:rPr>
          <w:sz w:val="28"/>
          <w:szCs w:val="28"/>
        </w:rPr>
      </w:pPr>
      <w:r>
        <w:rPr>
          <w:sz w:val="28"/>
          <w:szCs w:val="28"/>
        </w:rPr>
        <w:t xml:space="preserve">Ich erlaube mir, das Gutachten von Prof. Dr. </w:t>
      </w:r>
      <w:proofErr w:type="spellStart"/>
      <w:r>
        <w:rPr>
          <w:sz w:val="28"/>
          <w:szCs w:val="28"/>
        </w:rPr>
        <w:t>Sibbertsen</w:t>
      </w:r>
      <w:proofErr w:type="spellEnd"/>
      <w:r>
        <w:rPr>
          <w:sz w:val="28"/>
          <w:szCs w:val="28"/>
        </w:rPr>
        <w:t>, Leiter des Instituts für Statistik an der Leibnitz Universität Hannover, vom 9. November 2011 vorzulegen, in dem er zu dem Ergebnis kommt, dass die Berechnungsmethode des BGH, zur Feststellung der Änderung der allgemeinen wirtschaftlichen Verhältnisse das arithmetische Mittel aus Lohn- und Preisentwicklung im Beobachtungszeitraum zu nehmen, statistisch nicht haltbar ist.</w:t>
      </w:r>
    </w:p>
    <w:p w:rsidR="00DB0189" w:rsidRDefault="00DB0189" w:rsidP="00F33525">
      <w:pPr>
        <w:rPr>
          <w:sz w:val="28"/>
          <w:szCs w:val="28"/>
        </w:rPr>
      </w:pPr>
    </w:p>
    <w:p w:rsidR="00DB0189" w:rsidRDefault="00DB0189" w:rsidP="00F33525">
      <w:pPr>
        <w:rPr>
          <w:sz w:val="28"/>
          <w:szCs w:val="28"/>
        </w:rPr>
      </w:pPr>
      <w:r>
        <w:rPr>
          <w:sz w:val="28"/>
          <w:szCs w:val="28"/>
        </w:rPr>
        <w:t>Sofern es noch letzte Zweifel geben sollte, könnte eine Stellungnahme des Landesamtes für Statistik eingeholt werden.</w:t>
      </w:r>
    </w:p>
    <w:p w:rsidR="00DB0189" w:rsidRDefault="00DB0189" w:rsidP="00F33525">
      <w:pPr>
        <w:rPr>
          <w:sz w:val="28"/>
          <w:szCs w:val="28"/>
        </w:rPr>
      </w:pPr>
    </w:p>
    <w:p w:rsidR="000D2824" w:rsidRDefault="000727E9" w:rsidP="00F33525">
      <w:pPr>
        <w:rPr>
          <w:sz w:val="28"/>
          <w:szCs w:val="28"/>
        </w:rPr>
      </w:pPr>
      <w:r>
        <w:rPr>
          <w:sz w:val="28"/>
          <w:szCs w:val="28"/>
        </w:rPr>
        <w:t xml:space="preserve">Die seinerzeit zugrunde gelegte Statistik über die Bruttoverdienste der Arbeitnehmer wird zwar noch fortgeführt, sie ist aber wenig aussagekräftig, weil sie die atypischen Arbeitsverhältnisse nicht erfasst. Das Statistische Bundesamt hat empfohlen, ab 1991 auf die ebenfalls beigefügte Statistik </w:t>
      </w:r>
      <w:r w:rsidR="009D5F7E">
        <w:rPr>
          <w:sz w:val="28"/>
          <w:szCs w:val="28"/>
        </w:rPr>
        <w:t>2.1.10 der Fachserie 18, Reihe 1.4 2015 zurückzugreifen. Nach Spalte 7 hat das preisbereinigte Einkommen je Arbeitnehmer 1991 = 19 811 Euro und  2014 = 19 821 Euro betragen. Danach hätten in dieser Zeit des unveränderten Einkommens keinerlei Erbbauzinserhöhungen stattfinden dürfen. Erst 2015 war eine geringfügige Steigerung zu verzeichnen, die aber insgesamt nur ei</w:t>
      </w:r>
      <w:r w:rsidR="000D2824">
        <w:rPr>
          <w:sz w:val="28"/>
          <w:szCs w:val="28"/>
        </w:rPr>
        <w:t>ne Veränderung um 2,2% bedeutet</w:t>
      </w:r>
      <w:r w:rsidR="00CD0D65">
        <w:rPr>
          <w:sz w:val="28"/>
          <w:szCs w:val="28"/>
        </w:rPr>
        <w:t>.</w:t>
      </w:r>
    </w:p>
    <w:p w:rsidR="00250B4C" w:rsidRDefault="00341FEF" w:rsidP="00250B4C">
      <w:pPr>
        <w:rPr>
          <w:sz w:val="28"/>
          <w:szCs w:val="28"/>
        </w:rPr>
      </w:pPr>
      <w:r>
        <w:rPr>
          <w:sz w:val="28"/>
          <w:szCs w:val="28"/>
        </w:rPr>
        <w:lastRenderedPageBreak/>
        <w:t xml:space="preserve">Kapitel 4     </w:t>
      </w:r>
      <w:r w:rsidRPr="00341FEF">
        <w:rPr>
          <w:b/>
          <w:sz w:val="28"/>
          <w:szCs w:val="28"/>
        </w:rPr>
        <w:t xml:space="preserve">Schlussbetrachtung und Vorschlag </w:t>
      </w:r>
    </w:p>
    <w:p w:rsidR="00250B4C" w:rsidRDefault="00250B4C" w:rsidP="00250B4C">
      <w:pPr>
        <w:rPr>
          <w:sz w:val="28"/>
          <w:szCs w:val="28"/>
        </w:rPr>
      </w:pPr>
    </w:p>
    <w:p w:rsidR="00E7514D" w:rsidRDefault="00250B4C" w:rsidP="000D2824">
      <w:pPr>
        <w:rPr>
          <w:noProof/>
          <w:sz w:val="28"/>
          <w:szCs w:val="28"/>
          <w:lang w:eastAsia="de-DE"/>
        </w:rPr>
      </w:pPr>
      <w:r w:rsidRPr="00250B4C">
        <w:rPr>
          <w:sz w:val="28"/>
          <w:szCs w:val="28"/>
        </w:rPr>
        <w:t>In der vergangenen Legislaturperiode haben s</w:t>
      </w:r>
      <w:r>
        <w:rPr>
          <w:sz w:val="28"/>
          <w:szCs w:val="28"/>
        </w:rPr>
        <w:t>ich die Interessengemeinschaften</w:t>
      </w:r>
      <w:r w:rsidR="000D2824">
        <w:rPr>
          <w:sz w:val="28"/>
          <w:szCs w:val="28"/>
        </w:rPr>
        <w:t xml:space="preserve"> der  Erbbaurechtsnehmer hilfesuchend an die Fraktionen von  SPD und Grünen gewandt, ohne die Ursache für die enormen Erbbauzins</w:t>
      </w:r>
      <w:r w:rsidR="00CE4C49">
        <w:rPr>
          <w:sz w:val="28"/>
          <w:szCs w:val="28"/>
        </w:rPr>
        <w:t>steigerung</w:t>
      </w:r>
      <w:r w:rsidR="000D2824">
        <w:rPr>
          <w:sz w:val="28"/>
          <w:szCs w:val="28"/>
        </w:rPr>
        <w:t xml:space="preserve">en zu kennen. </w:t>
      </w:r>
      <w:r w:rsidR="0013637F">
        <w:rPr>
          <w:sz w:val="28"/>
          <w:szCs w:val="28"/>
        </w:rPr>
        <w:t xml:space="preserve">Konkrete, sich aus der Gesetzessystematik abgeleitete Forderungen sind nicht gestellt worden. </w:t>
      </w:r>
      <w:r w:rsidR="00FC715F">
        <w:rPr>
          <w:sz w:val="28"/>
          <w:szCs w:val="28"/>
        </w:rPr>
        <w:t>Ihr Hilfeversprechen</w:t>
      </w:r>
      <w:r w:rsidR="00FC715F">
        <w:rPr>
          <w:noProof/>
          <w:sz w:val="28"/>
          <w:szCs w:val="28"/>
          <w:lang w:eastAsia="de-DE"/>
        </w:rPr>
        <w:t xml:space="preserve"> haben SPD und Grüne mittlerweile in die Tat umgesetzt, indem sie gerade im Hinblick auf die Erbbaurechtsnehmer eine Modernisierung der Klosterkammer anstreben. Wie aber beispielsweise aus einem Bericht der Hannoverschen Allgemeinen Zeitung vom 02.12.2016 hervorgeht, ist das Erreichen dieses Ziels fraglich.</w:t>
      </w:r>
    </w:p>
    <w:p w:rsidR="00FC715F" w:rsidRDefault="00FC715F" w:rsidP="000D2824">
      <w:pPr>
        <w:rPr>
          <w:noProof/>
          <w:sz w:val="28"/>
          <w:szCs w:val="28"/>
          <w:lang w:eastAsia="de-DE"/>
        </w:rPr>
      </w:pPr>
    </w:p>
    <w:p w:rsidR="00FC715F" w:rsidRDefault="00FC715F" w:rsidP="000D2824">
      <w:pPr>
        <w:rPr>
          <w:noProof/>
          <w:sz w:val="28"/>
          <w:szCs w:val="28"/>
          <w:lang w:eastAsia="de-DE"/>
        </w:rPr>
      </w:pPr>
      <w:r>
        <w:rPr>
          <w:noProof/>
          <w:sz w:val="28"/>
          <w:szCs w:val="28"/>
          <w:lang w:eastAsia="de-DE"/>
        </w:rPr>
        <w:t>Unstrittig dürfte aber sein, dass die Klosterkammer nicht nach eigenem Gutdünken schalten und walten kann, sondern der Dienst- und Fachsicht der übergeordneten Landesbehörde unterliegt.</w:t>
      </w:r>
    </w:p>
    <w:p w:rsidR="00FC715F" w:rsidRDefault="00FC715F" w:rsidP="000D2824">
      <w:pPr>
        <w:rPr>
          <w:noProof/>
          <w:sz w:val="28"/>
          <w:szCs w:val="28"/>
          <w:lang w:eastAsia="de-DE"/>
        </w:rPr>
      </w:pPr>
    </w:p>
    <w:p w:rsidR="00FC715F" w:rsidRPr="00CD0D65" w:rsidRDefault="00FC715F" w:rsidP="000D2824">
      <w:pPr>
        <w:rPr>
          <w:b/>
          <w:noProof/>
          <w:sz w:val="28"/>
          <w:szCs w:val="28"/>
          <w:lang w:eastAsia="de-DE"/>
        </w:rPr>
      </w:pPr>
      <w:r w:rsidRPr="00CD0D65">
        <w:rPr>
          <w:b/>
          <w:noProof/>
          <w:sz w:val="28"/>
          <w:szCs w:val="28"/>
          <w:lang w:eastAsia="de-DE"/>
        </w:rPr>
        <w:t>Damit den Erbbaurechtsnehmern noch in dieser Legislaturperiode</w:t>
      </w:r>
      <w:r w:rsidR="005161C7" w:rsidRPr="00CD0D65">
        <w:rPr>
          <w:b/>
          <w:noProof/>
          <w:sz w:val="28"/>
          <w:szCs w:val="28"/>
          <w:lang w:eastAsia="de-DE"/>
        </w:rPr>
        <w:t xml:space="preserve"> zu ihrem Recht verholfen werden kann, schlage ich vor, zu der von mir aufgeworfenen Thematik kurzfristig einen unter Führung der Staatskanzlei oder des Ministeriums für Wissenschaft und Kultur stehenden Arbeitskreis zu gründen, dem außerdem Vertreter der Klosterkammer, des Landesamtes für Statistik und – als vertrauensbildende Maßnahme – eine geringe Zahl von Vertretern der Erbbaurechtsnehmer, die ich benennen würde, angehören sollten. </w:t>
      </w:r>
      <w:r w:rsidR="0013637F" w:rsidRPr="00CD0D65">
        <w:rPr>
          <w:b/>
          <w:noProof/>
          <w:sz w:val="28"/>
          <w:szCs w:val="28"/>
          <w:lang w:eastAsia="de-DE"/>
        </w:rPr>
        <w:t>Meine Teilnahme als Beauftragter der Interessengemeinschaften biete ich gern an.</w:t>
      </w:r>
    </w:p>
    <w:p w:rsidR="0013637F" w:rsidRPr="00CD0D65" w:rsidRDefault="0013637F" w:rsidP="000D2824">
      <w:pPr>
        <w:rPr>
          <w:b/>
          <w:noProof/>
          <w:sz w:val="28"/>
          <w:szCs w:val="28"/>
          <w:lang w:eastAsia="de-DE"/>
        </w:rPr>
      </w:pPr>
    </w:p>
    <w:p w:rsidR="0036524D" w:rsidRPr="00CD0D65" w:rsidRDefault="0013637F" w:rsidP="000D2824">
      <w:pPr>
        <w:rPr>
          <w:b/>
          <w:noProof/>
          <w:sz w:val="28"/>
          <w:szCs w:val="28"/>
          <w:lang w:eastAsia="de-DE"/>
        </w:rPr>
      </w:pPr>
      <w:r w:rsidRPr="00CD0D65">
        <w:rPr>
          <w:b/>
          <w:noProof/>
          <w:sz w:val="28"/>
          <w:szCs w:val="28"/>
          <w:lang w:eastAsia="de-DE"/>
        </w:rPr>
        <w:t>Sehr geehrter Herr Weil, ich hoffe inständig, dass Sie meinen Vorschlag aufgreifen</w:t>
      </w:r>
      <w:r w:rsidR="0036524D" w:rsidRPr="00CD0D65">
        <w:rPr>
          <w:b/>
          <w:noProof/>
          <w:sz w:val="28"/>
          <w:szCs w:val="28"/>
          <w:lang w:eastAsia="de-DE"/>
        </w:rPr>
        <w:t xml:space="preserve"> werden</w:t>
      </w:r>
      <w:r w:rsidRPr="00CD0D65">
        <w:rPr>
          <w:b/>
          <w:noProof/>
          <w:sz w:val="28"/>
          <w:szCs w:val="28"/>
          <w:lang w:eastAsia="de-DE"/>
        </w:rPr>
        <w:t xml:space="preserve">. Wenn kurzfristig gehandelt wird, sehe ich die Möglichkeit, in wenigen Monaten </w:t>
      </w:r>
      <w:r w:rsidR="0036524D" w:rsidRPr="00CD0D65">
        <w:rPr>
          <w:b/>
          <w:noProof/>
          <w:sz w:val="28"/>
          <w:szCs w:val="28"/>
          <w:lang w:eastAsia="de-DE"/>
        </w:rPr>
        <w:t>ein für die Erbaurechtsnehmer positives Ergebnis vorlegen zu können. Das dürfte auch im Interesse der Landesregierung liegen.</w:t>
      </w:r>
    </w:p>
    <w:p w:rsidR="0036524D" w:rsidRDefault="0036524D" w:rsidP="000D2824">
      <w:pPr>
        <w:rPr>
          <w:noProof/>
          <w:sz w:val="28"/>
          <w:szCs w:val="28"/>
          <w:lang w:eastAsia="de-DE"/>
        </w:rPr>
      </w:pPr>
    </w:p>
    <w:p w:rsidR="0036524D" w:rsidRDefault="0036524D" w:rsidP="000D2824">
      <w:pPr>
        <w:rPr>
          <w:noProof/>
          <w:sz w:val="28"/>
          <w:szCs w:val="28"/>
          <w:lang w:eastAsia="de-DE"/>
        </w:rPr>
      </w:pPr>
      <w:r>
        <w:rPr>
          <w:noProof/>
          <w:sz w:val="28"/>
          <w:szCs w:val="28"/>
          <w:lang w:eastAsia="de-DE"/>
        </w:rPr>
        <w:t>Die Interessengemeinschaften erhalten dieses Schreiben zur Kenntnis.</w:t>
      </w:r>
    </w:p>
    <w:p w:rsidR="0036524D" w:rsidRDefault="0036524D" w:rsidP="000D2824">
      <w:pPr>
        <w:rPr>
          <w:noProof/>
          <w:sz w:val="28"/>
          <w:szCs w:val="28"/>
          <w:lang w:eastAsia="de-DE"/>
        </w:rPr>
      </w:pPr>
    </w:p>
    <w:p w:rsidR="0036524D" w:rsidRDefault="0036524D" w:rsidP="000D2824">
      <w:pPr>
        <w:rPr>
          <w:noProof/>
          <w:sz w:val="28"/>
          <w:szCs w:val="28"/>
          <w:lang w:eastAsia="de-DE"/>
        </w:rPr>
      </w:pPr>
    </w:p>
    <w:p w:rsidR="0036524D" w:rsidRDefault="0036524D" w:rsidP="000D2824">
      <w:pPr>
        <w:rPr>
          <w:noProof/>
          <w:sz w:val="28"/>
          <w:szCs w:val="28"/>
          <w:lang w:eastAsia="de-DE"/>
        </w:rPr>
      </w:pPr>
      <w:r>
        <w:rPr>
          <w:noProof/>
          <w:sz w:val="28"/>
          <w:szCs w:val="28"/>
          <w:lang w:eastAsia="de-DE"/>
        </w:rPr>
        <w:t>Mit freundlichen Grüßen</w:t>
      </w:r>
    </w:p>
    <w:p w:rsidR="0036524D" w:rsidRDefault="0036524D" w:rsidP="000D2824">
      <w:pPr>
        <w:rPr>
          <w:noProof/>
          <w:sz w:val="28"/>
          <w:szCs w:val="28"/>
          <w:lang w:eastAsia="de-DE"/>
        </w:rPr>
      </w:pPr>
    </w:p>
    <w:p w:rsidR="0036524D" w:rsidRDefault="0036524D" w:rsidP="000D2824">
      <w:pPr>
        <w:rPr>
          <w:noProof/>
          <w:sz w:val="28"/>
          <w:szCs w:val="28"/>
          <w:lang w:eastAsia="de-DE"/>
        </w:rPr>
      </w:pPr>
    </w:p>
    <w:p w:rsidR="0036524D" w:rsidRDefault="0036524D" w:rsidP="000D2824">
      <w:pPr>
        <w:rPr>
          <w:noProof/>
          <w:sz w:val="28"/>
          <w:szCs w:val="28"/>
          <w:lang w:eastAsia="de-DE"/>
        </w:rPr>
      </w:pPr>
      <w:r>
        <w:rPr>
          <w:noProof/>
          <w:sz w:val="28"/>
          <w:szCs w:val="28"/>
          <w:lang w:eastAsia="de-DE"/>
        </w:rPr>
        <w:t>Gerhard Schild</w:t>
      </w:r>
    </w:p>
    <w:p w:rsidR="0036524D" w:rsidRDefault="0036524D" w:rsidP="000D2824">
      <w:pPr>
        <w:rPr>
          <w:noProof/>
          <w:sz w:val="28"/>
          <w:szCs w:val="28"/>
          <w:lang w:eastAsia="de-DE"/>
        </w:rPr>
      </w:pPr>
    </w:p>
    <w:p w:rsidR="0036524D" w:rsidRDefault="0036524D" w:rsidP="000D2824">
      <w:pPr>
        <w:rPr>
          <w:noProof/>
          <w:sz w:val="28"/>
          <w:szCs w:val="28"/>
          <w:lang w:eastAsia="de-DE"/>
        </w:rPr>
      </w:pPr>
      <w:r>
        <w:rPr>
          <w:noProof/>
          <w:sz w:val="28"/>
          <w:szCs w:val="28"/>
          <w:lang w:eastAsia="de-DE"/>
        </w:rPr>
        <w:t>Anlagen:</w:t>
      </w:r>
    </w:p>
    <w:p w:rsidR="0036524D" w:rsidRDefault="0036524D" w:rsidP="000D2824">
      <w:pPr>
        <w:rPr>
          <w:noProof/>
          <w:sz w:val="28"/>
          <w:szCs w:val="28"/>
          <w:lang w:eastAsia="de-DE"/>
        </w:rPr>
      </w:pPr>
      <w:r>
        <w:rPr>
          <w:noProof/>
          <w:sz w:val="28"/>
          <w:szCs w:val="28"/>
          <w:lang w:eastAsia="de-DE"/>
        </w:rPr>
        <w:t>Gutachten Prof. Sibbertsen</w:t>
      </w:r>
    </w:p>
    <w:p w:rsidR="0036524D" w:rsidRDefault="0036524D" w:rsidP="000D2824">
      <w:pPr>
        <w:rPr>
          <w:noProof/>
          <w:sz w:val="28"/>
          <w:szCs w:val="28"/>
          <w:lang w:eastAsia="de-DE"/>
        </w:rPr>
      </w:pPr>
      <w:r>
        <w:rPr>
          <w:noProof/>
          <w:sz w:val="28"/>
          <w:szCs w:val="28"/>
          <w:lang w:eastAsia="de-DE"/>
        </w:rPr>
        <w:t>Einkommensstatistik für Arbeitnehmer</w:t>
      </w:r>
    </w:p>
    <w:p w:rsidR="0013637F" w:rsidRPr="00250B4C" w:rsidRDefault="0036524D" w:rsidP="000D2824">
      <w:pPr>
        <w:rPr>
          <w:sz w:val="28"/>
          <w:szCs w:val="28"/>
        </w:rPr>
      </w:pPr>
      <w:r>
        <w:rPr>
          <w:noProof/>
          <w:sz w:val="28"/>
          <w:szCs w:val="28"/>
          <w:lang w:eastAsia="de-DE"/>
        </w:rPr>
        <w:lastRenderedPageBreak/>
        <w:t xml:space="preserve"> </w:t>
      </w:r>
    </w:p>
    <w:p w:rsidR="00225B19" w:rsidRPr="00250B4C" w:rsidRDefault="00225B19" w:rsidP="00250B4C">
      <w:pPr>
        <w:rPr>
          <w:sz w:val="28"/>
          <w:szCs w:val="28"/>
        </w:rPr>
      </w:pPr>
    </w:p>
    <w:p w:rsidR="00225B19" w:rsidRDefault="00225B19" w:rsidP="00FD3322">
      <w:pPr>
        <w:rPr>
          <w:sz w:val="28"/>
          <w:szCs w:val="28"/>
        </w:rPr>
      </w:pPr>
      <w:r>
        <w:rPr>
          <w:noProof/>
          <w:lang w:eastAsia="de-DE"/>
        </w:rPr>
        <mc:AlternateContent>
          <mc:Choice Requires="wps">
            <w:drawing>
              <wp:inline distT="0" distB="0" distL="0" distR="0" wp14:anchorId="785957E4" wp14:editId="168DB4A6">
                <wp:extent cx="304800" cy="304800"/>
                <wp:effectExtent l="0" t="0" r="0" b="0"/>
                <wp:docPr id="10" name="AutoShape 13" descr="{\displaystyle {\text{Reallohnindex}}={\frac {\text{Nominallohnindex}}{\text{Verbraucherpreisindex}}}\cdot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 o:spid="_x0000_s1026" alt="{\displaystyle {\text{Reallohnindex}}={\frac {\text{Nominallohnindex}}{\text{Verbraucherpreisindex}}}\cdot 1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y&#10;LUoW/QIAADE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lang w:eastAsia="de-DE"/>
        </w:rPr>
        <mc:AlternateContent>
          <mc:Choice Requires="wps">
            <w:drawing>
              <wp:inline distT="0" distB="0" distL="0" distR="0" wp14:anchorId="0C8817A5" wp14:editId="38B1A54F">
                <wp:extent cx="304800" cy="304800"/>
                <wp:effectExtent l="0" t="0" r="0" b="0"/>
                <wp:docPr id="14" name="AutoShape 20" descr="{\displaystyle {\text{Reallohnindex}}={\frac {\text{Nominallohnindex}}{\text{Verbraucherpreisindex}}}\cdot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0" o:spid="_x0000_s1026" alt="{\displaystyle {\text{Reallohnindex}}={\frac {\text{Nominallohnindex}}{\text{Verbraucherpreisindex}}}\cdot 1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P&#10;yRS9/QIAADE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lang w:eastAsia="de-DE"/>
        </w:rPr>
        <mc:AlternateContent>
          <mc:Choice Requires="wps">
            <w:drawing>
              <wp:inline distT="0" distB="0" distL="0" distR="0" wp14:anchorId="756749A6" wp14:editId="0642BED6">
                <wp:extent cx="304800" cy="304800"/>
                <wp:effectExtent l="0" t="0" r="0" b="0"/>
                <wp:docPr id="16" name="AutoShape 22" descr="{\displaystyle {\text{Reallohnindex}}={\frac {\text{Nominallohnindex}}{\text{Verbraucherpreisindex}}}\cdot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2" o:spid="_x0000_s1026" alt="{\displaystyle {\text{Reallohnindex}}={\frac {\text{Nominallohnindex}}{\text{Verbraucherpreisindex}}}\cdot 1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Y&#10;Nb9g/QIAADEGAAAOAAAAAAAAAAAAAAAAAC4CAABkcnMvZTJvRG9jLnhtbFBLAQItABQABgAIAAAA&#10;IQBMoOks2AAAAAMBAAAPAAAAAAAAAAAAAAAAAFcFAABkcnMvZG93bnJldi54bWxQSwUGAAAAAAQA&#10;BADzAAAAXAYAAAAA&#10;" filled="f" stroked="f">
                <o:lock v:ext="edit" aspectratio="t"/>
                <w10:anchorlock/>
              </v:rect>
            </w:pict>
          </mc:Fallback>
        </mc:AlternateContent>
      </w:r>
      <w:r>
        <w:rPr>
          <w:noProof/>
          <w:lang w:eastAsia="de-DE"/>
        </w:rPr>
        <mc:AlternateContent>
          <mc:Choice Requires="wps">
            <w:drawing>
              <wp:inline distT="0" distB="0" distL="0" distR="0" wp14:anchorId="09291911" wp14:editId="08B36045">
                <wp:extent cx="304800" cy="304800"/>
                <wp:effectExtent l="0" t="0" r="0" b="0"/>
                <wp:docPr id="12" name="AutoShape 18" descr="{\displaystyle {\text{Reallohnindex}}={\frac {\text{Nominallohnindex}}{\text{Verbraucherpreisindex}}}\cdot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8" o:spid="_x0000_s1026" alt="{\displaystyle {\text{Reallohnindex}}={\frac {\text{Nominallohnindex}}{\text{Verbraucherpreisindex}}}\cdot 1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AS&#10;oD+E/QIAADEG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225B19" w:rsidRDefault="00225B19" w:rsidP="00F33525">
      <w:pPr>
        <w:rPr>
          <w:sz w:val="28"/>
          <w:szCs w:val="28"/>
        </w:rPr>
      </w:pPr>
    </w:p>
    <w:p w:rsidR="00225B19" w:rsidRDefault="00225B19" w:rsidP="00F33525">
      <w:pPr>
        <w:rPr>
          <w:sz w:val="28"/>
          <w:szCs w:val="28"/>
        </w:rPr>
      </w:pPr>
    </w:p>
    <w:p w:rsidR="00225B19" w:rsidRDefault="00225B19" w:rsidP="00F33525">
      <w:pPr>
        <w:rPr>
          <w:sz w:val="28"/>
          <w:szCs w:val="28"/>
        </w:rPr>
      </w:pPr>
    </w:p>
    <w:p w:rsidR="00225B19" w:rsidRDefault="00225B19" w:rsidP="00F33525">
      <w:pPr>
        <w:rPr>
          <w:sz w:val="28"/>
          <w:szCs w:val="28"/>
        </w:rPr>
      </w:pPr>
    </w:p>
    <w:p w:rsidR="00E7514D" w:rsidRDefault="00225B19" w:rsidP="00F33525">
      <w:pPr>
        <w:rPr>
          <w:sz w:val="28"/>
          <w:szCs w:val="28"/>
        </w:rPr>
      </w:pPr>
      <w:r>
        <w:rPr>
          <w:noProof/>
          <w:lang w:eastAsia="de-DE"/>
        </w:rPr>
        <mc:AlternateContent>
          <mc:Choice Requires="wps">
            <w:drawing>
              <wp:inline distT="0" distB="0" distL="0" distR="0" wp14:anchorId="12FF2C3B" wp14:editId="64A87F32">
                <wp:extent cx="304800" cy="304800"/>
                <wp:effectExtent l="0" t="0" r="0" b="0"/>
                <wp:docPr id="4" name="AutoShape 4" descr="{\displaystyle {\text{Reallohnindex}}={\frac {\text{Nominallohnindex}}{\text{Verbraucherpreisindex}}}\cdot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displaystyle {\text{Reallohnindex}}={\frac {\text{Nominallohnindex}}{\text{Verbraucherpreisindex}}}\cdot 10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TFz&#10;YPsCAAAv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0F1186" w:rsidRDefault="000F1186" w:rsidP="00F33525">
      <w:pPr>
        <w:rPr>
          <w:sz w:val="28"/>
          <w:szCs w:val="28"/>
        </w:rPr>
      </w:pPr>
    </w:p>
    <w:p w:rsidR="00816F3D" w:rsidRDefault="00816F3D" w:rsidP="00F33525">
      <w:pPr>
        <w:rPr>
          <w:sz w:val="28"/>
          <w:szCs w:val="28"/>
        </w:rPr>
      </w:pPr>
    </w:p>
    <w:p w:rsidR="009C6FE1" w:rsidRDefault="009C6FE1" w:rsidP="00F33525">
      <w:pPr>
        <w:rPr>
          <w:sz w:val="28"/>
          <w:szCs w:val="28"/>
        </w:rPr>
      </w:pPr>
    </w:p>
    <w:p w:rsidR="009C6FE1" w:rsidRDefault="009C6FE1" w:rsidP="00F33525">
      <w:pPr>
        <w:rPr>
          <w:sz w:val="28"/>
          <w:szCs w:val="28"/>
        </w:rPr>
      </w:pPr>
    </w:p>
    <w:p w:rsidR="004F004B" w:rsidRDefault="004F004B" w:rsidP="00F33525">
      <w:pPr>
        <w:rPr>
          <w:sz w:val="28"/>
          <w:szCs w:val="28"/>
        </w:rPr>
      </w:pPr>
    </w:p>
    <w:p w:rsidR="004F004B" w:rsidRDefault="004F004B" w:rsidP="00F33525">
      <w:pPr>
        <w:rPr>
          <w:sz w:val="28"/>
          <w:szCs w:val="28"/>
        </w:rPr>
      </w:pPr>
    </w:p>
    <w:p w:rsidR="00DD7116" w:rsidRDefault="00DD7116" w:rsidP="00F33525">
      <w:pPr>
        <w:rPr>
          <w:sz w:val="28"/>
          <w:szCs w:val="28"/>
        </w:rPr>
      </w:pPr>
    </w:p>
    <w:p w:rsidR="00DD7116" w:rsidRDefault="00DD7116" w:rsidP="00F33525">
      <w:pPr>
        <w:rPr>
          <w:sz w:val="28"/>
          <w:szCs w:val="28"/>
        </w:rPr>
      </w:pPr>
    </w:p>
    <w:p w:rsidR="00DD7116" w:rsidRDefault="00DD7116" w:rsidP="00F33525">
      <w:pPr>
        <w:rPr>
          <w:sz w:val="28"/>
          <w:szCs w:val="28"/>
        </w:rPr>
      </w:pPr>
    </w:p>
    <w:p w:rsidR="00DD7116" w:rsidRDefault="00DD7116" w:rsidP="00F33525">
      <w:pPr>
        <w:rPr>
          <w:sz w:val="28"/>
          <w:szCs w:val="28"/>
        </w:rPr>
      </w:pPr>
    </w:p>
    <w:p w:rsidR="00C8527E" w:rsidRDefault="00566315" w:rsidP="00F33525">
      <w:pPr>
        <w:rPr>
          <w:sz w:val="28"/>
          <w:szCs w:val="28"/>
        </w:rPr>
      </w:pPr>
      <w:r>
        <w:rPr>
          <w:sz w:val="28"/>
          <w:szCs w:val="28"/>
        </w:rPr>
        <w:t xml:space="preserve">                                           </w:t>
      </w:r>
    </w:p>
    <w:p w:rsidR="00C8527E" w:rsidRDefault="00C8527E" w:rsidP="00F33525">
      <w:pPr>
        <w:rPr>
          <w:sz w:val="28"/>
          <w:szCs w:val="28"/>
        </w:rPr>
      </w:pPr>
    </w:p>
    <w:p w:rsidR="00C8527E" w:rsidRDefault="00C8527E" w:rsidP="00F33525">
      <w:pPr>
        <w:rPr>
          <w:sz w:val="28"/>
          <w:szCs w:val="28"/>
        </w:rPr>
      </w:pPr>
    </w:p>
    <w:p w:rsidR="00C8527E" w:rsidRDefault="00C8527E" w:rsidP="00F33525">
      <w:pPr>
        <w:rPr>
          <w:sz w:val="28"/>
          <w:szCs w:val="28"/>
        </w:rPr>
      </w:pPr>
    </w:p>
    <w:p w:rsidR="00C8527E" w:rsidRDefault="00C8527E" w:rsidP="00F33525">
      <w:pPr>
        <w:rPr>
          <w:sz w:val="28"/>
          <w:szCs w:val="28"/>
        </w:rPr>
      </w:pPr>
    </w:p>
    <w:p w:rsidR="00C8527E" w:rsidRDefault="00C8527E" w:rsidP="00F33525">
      <w:pPr>
        <w:rPr>
          <w:sz w:val="28"/>
          <w:szCs w:val="28"/>
        </w:rPr>
      </w:pPr>
    </w:p>
    <w:p w:rsidR="00C8527E" w:rsidRDefault="00C8527E" w:rsidP="00F33525">
      <w:pPr>
        <w:rPr>
          <w:sz w:val="28"/>
          <w:szCs w:val="28"/>
        </w:rPr>
      </w:pPr>
    </w:p>
    <w:p w:rsidR="00C8527E" w:rsidRDefault="00C8527E" w:rsidP="00F33525">
      <w:pPr>
        <w:rPr>
          <w:sz w:val="28"/>
          <w:szCs w:val="28"/>
        </w:rPr>
      </w:pPr>
    </w:p>
    <w:p w:rsidR="00C8527E" w:rsidRDefault="00C8527E" w:rsidP="00F33525">
      <w:pPr>
        <w:rPr>
          <w:sz w:val="28"/>
          <w:szCs w:val="28"/>
        </w:rPr>
      </w:pPr>
    </w:p>
    <w:p w:rsidR="00571CE6" w:rsidRDefault="00571CE6" w:rsidP="00F33525">
      <w:pPr>
        <w:rPr>
          <w:sz w:val="28"/>
          <w:szCs w:val="28"/>
        </w:rPr>
      </w:pPr>
    </w:p>
    <w:p w:rsidR="00571CE6" w:rsidRDefault="00571CE6" w:rsidP="00F33525">
      <w:pPr>
        <w:rPr>
          <w:sz w:val="28"/>
          <w:szCs w:val="28"/>
        </w:rPr>
      </w:pPr>
    </w:p>
    <w:p w:rsidR="00F33525" w:rsidRDefault="00F33525" w:rsidP="00F33525">
      <w:pPr>
        <w:rPr>
          <w:sz w:val="28"/>
          <w:szCs w:val="28"/>
        </w:rPr>
      </w:pPr>
    </w:p>
    <w:p w:rsidR="00F33525" w:rsidRDefault="00F33525" w:rsidP="00F33525">
      <w:pPr>
        <w:rPr>
          <w:sz w:val="28"/>
          <w:szCs w:val="28"/>
        </w:rPr>
      </w:pPr>
    </w:p>
    <w:p w:rsidR="00F33525" w:rsidRDefault="00F33525" w:rsidP="00F33525">
      <w:pPr>
        <w:jc w:val="center"/>
        <w:rPr>
          <w:sz w:val="28"/>
          <w:szCs w:val="28"/>
        </w:rPr>
      </w:pPr>
    </w:p>
    <w:p w:rsidR="00DA064A" w:rsidRDefault="00DA064A" w:rsidP="00F33525">
      <w:pPr>
        <w:spacing w:before="240"/>
        <w:rPr>
          <w:sz w:val="28"/>
          <w:szCs w:val="28"/>
        </w:rPr>
      </w:pPr>
      <w:r>
        <w:rPr>
          <w:sz w:val="28"/>
          <w:szCs w:val="28"/>
        </w:rPr>
        <w:t xml:space="preserve"> </w:t>
      </w:r>
    </w:p>
    <w:p w:rsidR="00F33525" w:rsidRDefault="00F33525" w:rsidP="00F33525">
      <w:pPr>
        <w:rPr>
          <w:sz w:val="28"/>
          <w:szCs w:val="28"/>
        </w:rPr>
      </w:pPr>
    </w:p>
    <w:p w:rsidR="00DA064A" w:rsidRDefault="00DA064A" w:rsidP="00DA064A">
      <w:pPr>
        <w:spacing w:before="240"/>
        <w:rPr>
          <w:sz w:val="28"/>
          <w:szCs w:val="28"/>
        </w:rPr>
      </w:pPr>
      <w:r>
        <w:rPr>
          <w:sz w:val="28"/>
          <w:szCs w:val="28"/>
        </w:rPr>
        <w:t xml:space="preserve">                                                                        </w:t>
      </w:r>
    </w:p>
    <w:p w:rsidR="00DA064A" w:rsidRPr="00DA064A" w:rsidRDefault="00DA064A" w:rsidP="00DA064A">
      <w:pPr>
        <w:rPr>
          <w:sz w:val="28"/>
          <w:szCs w:val="28"/>
        </w:rPr>
      </w:pPr>
    </w:p>
    <w:sectPr w:rsidR="00DA064A" w:rsidRPr="00DA064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30F96"/>
    <w:multiLevelType w:val="hybridMultilevel"/>
    <w:tmpl w:val="4DCAB54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20772497"/>
    <w:multiLevelType w:val="hybridMultilevel"/>
    <w:tmpl w:val="E57AF9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249A51EA"/>
    <w:multiLevelType w:val="hybridMultilevel"/>
    <w:tmpl w:val="93E8BE5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486928E0"/>
    <w:multiLevelType w:val="hybridMultilevel"/>
    <w:tmpl w:val="C4660D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nsid w:val="60B42D18"/>
    <w:multiLevelType w:val="hybridMultilevel"/>
    <w:tmpl w:val="7AF21D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64A"/>
    <w:rsid w:val="00012792"/>
    <w:rsid w:val="00054EDB"/>
    <w:rsid w:val="00054F6A"/>
    <w:rsid w:val="00064CAE"/>
    <w:rsid w:val="000727E9"/>
    <w:rsid w:val="0008646C"/>
    <w:rsid w:val="00094231"/>
    <w:rsid w:val="000D2824"/>
    <w:rsid w:val="000D54D5"/>
    <w:rsid w:val="000F1186"/>
    <w:rsid w:val="00134865"/>
    <w:rsid w:val="0013637F"/>
    <w:rsid w:val="00140FEE"/>
    <w:rsid w:val="0015269E"/>
    <w:rsid w:val="001C6046"/>
    <w:rsid w:val="00225B19"/>
    <w:rsid w:val="00232796"/>
    <w:rsid w:val="00250B4C"/>
    <w:rsid w:val="00306C7E"/>
    <w:rsid w:val="00341FEF"/>
    <w:rsid w:val="0036524D"/>
    <w:rsid w:val="003712C0"/>
    <w:rsid w:val="003A3DF7"/>
    <w:rsid w:val="003D6412"/>
    <w:rsid w:val="00402519"/>
    <w:rsid w:val="004340D8"/>
    <w:rsid w:val="00446E9B"/>
    <w:rsid w:val="004D2288"/>
    <w:rsid w:val="004F004B"/>
    <w:rsid w:val="005161C7"/>
    <w:rsid w:val="00566315"/>
    <w:rsid w:val="00571CE6"/>
    <w:rsid w:val="0061012B"/>
    <w:rsid w:val="00615DF0"/>
    <w:rsid w:val="006504BC"/>
    <w:rsid w:val="006F28CF"/>
    <w:rsid w:val="007015A9"/>
    <w:rsid w:val="00703DE0"/>
    <w:rsid w:val="00772B23"/>
    <w:rsid w:val="0079397D"/>
    <w:rsid w:val="0080405B"/>
    <w:rsid w:val="00811169"/>
    <w:rsid w:val="00816F3D"/>
    <w:rsid w:val="00822E59"/>
    <w:rsid w:val="00834031"/>
    <w:rsid w:val="0092476B"/>
    <w:rsid w:val="0098714C"/>
    <w:rsid w:val="00990D21"/>
    <w:rsid w:val="0099165F"/>
    <w:rsid w:val="009A60B3"/>
    <w:rsid w:val="009C6FE1"/>
    <w:rsid w:val="009D5F7E"/>
    <w:rsid w:val="00AC426D"/>
    <w:rsid w:val="00AD75CD"/>
    <w:rsid w:val="00B14792"/>
    <w:rsid w:val="00B51041"/>
    <w:rsid w:val="00B54177"/>
    <w:rsid w:val="00B846CD"/>
    <w:rsid w:val="00BB601A"/>
    <w:rsid w:val="00C2362C"/>
    <w:rsid w:val="00C2394D"/>
    <w:rsid w:val="00C255EC"/>
    <w:rsid w:val="00C40D7B"/>
    <w:rsid w:val="00C8527E"/>
    <w:rsid w:val="00C9117C"/>
    <w:rsid w:val="00CA61CA"/>
    <w:rsid w:val="00CD0D65"/>
    <w:rsid w:val="00CE4C49"/>
    <w:rsid w:val="00D60802"/>
    <w:rsid w:val="00D704D6"/>
    <w:rsid w:val="00D73F78"/>
    <w:rsid w:val="00DA064A"/>
    <w:rsid w:val="00DB0189"/>
    <w:rsid w:val="00DD7116"/>
    <w:rsid w:val="00E11CA9"/>
    <w:rsid w:val="00E30D15"/>
    <w:rsid w:val="00E30F7A"/>
    <w:rsid w:val="00E45131"/>
    <w:rsid w:val="00E52DF7"/>
    <w:rsid w:val="00E7514D"/>
    <w:rsid w:val="00F33525"/>
    <w:rsid w:val="00F51D02"/>
    <w:rsid w:val="00F7600F"/>
    <w:rsid w:val="00FA0023"/>
    <w:rsid w:val="00FC715F"/>
    <w:rsid w:val="00FD33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A064A"/>
    <w:pPr>
      <w:ind w:left="720"/>
      <w:contextualSpacing/>
    </w:pPr>
  </w:style>
  <w:style w:type="character" w:styleId="Hyperlink">
    <w:name w:val="Hyperlink"/>
    <w:basedOn w:val="Absatz-Standardschriftart"/>
    <w:uiPriority w:val="99"/>
    <w:unhideWhenUsed/>
    <w:rsid w:val="00F33525"/>
    <w:rPr>
      <w:color w:val="0000FF" w:themeColor="hyperlink"/>
      <w:u w:val="single"/>
    </w:rPr>
  </w:style>
  <w:style w:type="character" w:styleId="BesuchterHyperlink">
    <w:name w:val="FollowedHyperlink"/>
    <w:basedOn w:val="Absatz-Standardschriftart"/>
    <w:uiPriority w:val="99"/>
    <w:semiHidden/>
    <w:unhideWhenUsed/>
    <w:rsid w:val="00F33525"/>
    <w:rPr>
      <w:color w:val="800080" w:themeColor="followedHyperlink"/>
      <w:u w:val="single"/>
    </w:rPr>
  </w:style>
  <w:style w:type="paragraph" w:styleId="Sprechblasentext">
    <w:name w:val="Balloon Text"/>
    <w:basedOn w:val="Standard"/>
    <w:link w:val="SprechblasentextZchn"/>
    <w:uiPriority w:val="99"/>
    <w:semiHidden/>
    <w:unhideWhenUsed/>
    <w:rsid w:val="006F28C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F28CF"/>
    <w:rPr>
      <w:rFonts w:ascii="Tahoma" w:hAnsi="Tahoma" w:cs="Tahoma"/>
      <w:sz w:val="16"/>
      <w:szCs w:val="16"/>
    </w:rPr>
  </w:style>
  <w:style w:type="character" w:customStyle="1" w:styleId="apple-converted-space">
    <w:name w:val="apple-converted-space"/>
    <w:basedOn w:val="Absatz-Standardschriftart"/>
    <w:rsid w:val="001C60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A064A"/>
    <w:pPr>
      <w:ind w:left="720"/>
      <w:contextualSpacing/>
    </w:pPr>
  </w:style>
  <w:style w:type="character" w:styleId="Hyperlink">
    <w:name w:val="Hyperlink"/>
    <w:basedOn w:val="Absatz-Standardschriftart"/>
    <w:uiPriority w:val="99"/>
    <w:unhideWhenUsed/>
    <w:rsid w:val="00F33525"/>
    <w:rPr>
      <w:color w:val="0000FF" w:themeColor="hyperlink"/>
      <w:u w:val="single"/>
    </w:rPr>
  </w:style>
  <w:style w:type="character" w:styleId="BesuchterHyperlink">
    <w:name w:val="FollowedHyperlink"/>
    <w:basedOn w:val="Absatz-Standardschriftart"/>
    <w:uiPriority w:val="99"/>
    <w:semiHidden/>
    <w:unhideWhenUsed/>
    <w:rsid w:val="00F33525"/>
    <w:rPr>
      <w:color w:val="800080" w:themeColor="followedHyperlink"/>
      <w:u w:val="single"/>
    </w:rPr>
  </w:style>
  <w:style w:type="paragraph" w:styleId="Sprechblasentext">
    <w:name w:val="Balloon Text"/>
    <w:basedOn w:val="Standard"/>
    <w:link w:val="SprechblasentextZchn"/>
    <w:uiPriority w:val="99"/>
    <w:semiHidden/>
    <w:unhideWhenUsed/>
    <w:rsid w:val="006F28C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F28CF"/>
    <w:rPr>
      <w:rFonts w:ascii="Tahoma" w:hAnsi="Tahoma" w:cs="Tahoma"/>
      <w:sz w:val="16"/>
      <w:szCs w:val="16"/>
    </w:rPr>
  </w:style>
  <w:style w:type="character" w:customStyle="1" w:styleId="apple-converted-space">
    <w:name w:val="apple-converted-space"/>
    <w:basedOn w:val="Absatz-Standardschriftart"/>
    <w:rsid w:val="001C6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592377">
      <w:bodyDiv w:val="1"/>
      <w:marLeft w:val="0"/>
      <w:marRight w:val="0"/>
      <w:marTop w:val="0"/>
      <w:marBottom w:val="0"/>
      <w:divBdr>
        <w:top w:val="none" w:sz="0" w:space="0" w:color="auto"/>
        <w:left w:val="none" w:sz="0" w:space="0" w:color="auto"/>
        <w:bottom w:val="none" w:sz="0" w:space="0" w:color="auto"/>
        <w:right w:val="none" w:sz="0" w:space="0" w:color="auto"/>
      </w:divBdr>
    </w:div>
    <w:div w:id="194761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rhard-schild@t-online.d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3162</Words>
  <Characters>19925</Characters>
  <Application>Microsoft Office Word</Application>
  <DocSecurity>4</DocSecurity>
  <Lines>166</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Gerhard</dc:creator>
  <cp:lastModifiedBy>Oliver</cp:lastModifiedBy>
  <cp:revision>2</cp:revision>
  <cp:lastPrinted>2017-02-12T14:31:00Z</cp:lastPrinted>
  <dcterms:created xsi:type="dcterms:W3CDTF">2017-08-16T06:51:00Z</dcterms:created>
  <dcterms:modified xsi:type="dcterms:W3CDTF">2017-08-16T06:51:00Z</dcterms:modified>
</cp:coreProperties>
</file>